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F7" w:rsidRDefault="009F54F7" w:rsidP="009F54F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64.7pt" o:ole="">
            <v:imagedata r:id="rId8" o:title=""/>
          </v:shape>
          <o:OLEObject Type="Embed" ProgID="Presentations.Drawing.13" ShapeID="_x0000_i1025" DrawAspect="Content" ObjectID="_1736099309" r:id="rId9"/>
        </w:object>
      </w:r>
      <w:r>
        <w:t xml:space="preserve"> </w:t>
      </w:r>
      <w:r>
        <w:ptab w:relativeTo="margin" w:alignment="right" w:leader="none"/>
      </w:r>
    </w:p>
    <w:p w:rsidR="009F54F7" w:rsidRDefault="009F54F7" w:rsidP="009F54F7">
      <w:pPr>
        <w:pStyle w:val="Header"/>
      </w:pPr>
    </w:p>
    <w:p w:rsidR="009F54F7" w:rsidRPr="001E12E2" w:rsidRDefault="009F54F7" w:rsidP="009F54F7">
      <w:pPr>
        <w:jc w:val="center"/>
        <w:rPr>
          <w:b/>
        </w:rPr>
      </w:pPr>
      <w:r w:rsidRPr="001E12E2">
        <w:rPr>
          <w:b/>
        </w:rPr>
        <w:t>COUR SUPRÊME DU CANADA</w:t>
      </w:r>
    </w:p>
    <w:p w:rsidR="009F54F7" w:rsidRDefault="009F54F7" w:rsidP="009F54F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9F54F7" w:rsidRPr="001E12E2" w:rsidTr="00F92ACF">
        <w:trPr>
          <w:cantSplit/>
        </w:trPr>
        <w:tc>
          <w:tcPr>
            <w:tcW w:w="5529" w:type="dxa"/>
          </w:tcPr>
          <w:p w:rsidR="009F54F7" w:rsidRPr="009F54F7" w:rsidRDefault="009F54F7" w:rsidP="00F92ACF">
            <w:pPr>
              <w:rPr>
                <w:lang w:val="fr-CA"/>
              </w:rPr>
            </w:pPr>
            <w:r w:rsidRPr="009F54F7">
              <w:rPr>
                <w:b/>
                <w:smallCaps/>
                <w:lang w:val="fr-CA"/>
              </w:rPr>
              <w:t>Référence :</w:t>
            </w:r>
            <w:r w:rsidRPr="009F54F7">
              <w:rPr>
                <w:lang w:val="fr-CA"/>
              </w:rPr>
              <w:t xml:space="preserve"> Terre-Neuve-et-Labrador (Procureur général) </w:t>
            </w:r>
            <w:r w:rsidRPr="009F54F7">
              <w:rPr>
                <w:i/>
                <w:lang w:val="fr-CA"/>
              </w:rPr>
              <w:t>c.</w:t>
            </w:r>
            <w:r w:rsidRPr="009F54F7">
              <w:rPr>
                <w:lang w:val="fr-CA"/>
              </w:rPr>
              <w:t xml:space="preserve"> Uashaunnuat (Innus de Uashat et de Mani-Utenam), 2020 CSC 4,</w:t>
            </w:r>
            <w:r w:rsidR="008C343B">
              <w:rPr>
                <w:lang w:val="fr-CA"/>
              </w:rPr>
              <w:t xml:space="preserve"> [2020] 1</w:t>
            </w:r>
            <w:r w:rsidR="00C520CA" w:rsidRPr="00C520CA">
              <w:rPr>
                <w:lang w:val="fr-CA"/>
              </w:rPr>
              <w:t xml:space="preserve"> R.C.S. </w:t>
            </w:r>
            <w:r w:rsidR="008C343B">
              <w:rPr>
                <w:lang w:val="fr-CA"/>
              </w:rPr>
              <w:t>15</w:t>
            </w:r>
            <w:bookmarkStart w:id="0" w:name="_GoBack"/>
            <w:bookmarkEnd w:id="0"/>
          </w:p>
        </w:tc>
        <w:tc>
          <w:tcPr>
            <w:tcW w:w="4047" w:type="dxa"/>
          </w:tcPr>
          <w:p w:rsidR="009F54F7" w:rsidRPr="009F54F7" w:rsidRDefault="009F54F7" w:rsidP="00F92ACF">
            <w:pPr>
              <w:rPr>
                <w:color w:val="000000"/>
                <w:lang w:val="fr-CA"/>
              </w:rPr>
            </w:pPr>
            <w:r w:rsidRPr="009F54F7">
              <w:rPr>
                <w:b/>
                <w:bCs/>
                <w:smallCaps/>
                <w:color w:val="000000"/>
                <w:lang w:val="fr-CA"/>
              </w:rPr>
              <w:t>Appel entendu :</w:t>
            </w:r>
            <w:r w:rsidRPr="009F54F7">
              <w:rPr>
                <w:color w:val="000000"/>
                <w:lang w:val="fr-CA"/>
              </w:rPr>
              <w:t xml:space="preserve"> 24 avril 2019</w:t>
            </w:r>
          </w:p>
          <w:p w:rsidR="009F54F7" w:rsidRPr="009F54F7" w:rsidRDefault="009F54F7" w:rsidP="00F92ACF">
            <w:pPr>
              <w:rPr>
                <w:color w:val="000000"/>
                <w:lang w:val="fr-CA"/>
              </w:rPr>
            </w:pPr>
            <w:r w:rsidRPr="009F54F7">
              <w:rPr>
                <w:b/>
                <w:bCs/>
                <w:smallCaps/>
                <w:color w:val="000000"/>
                <w:lang w:val="fr-CA"/>
              </w:rPr>
              <w:t xml:space="preserve">Jugement rendu : </w:t>
            </w:r>
            <w:r w:rsidRPr="009F54F7">
              <w:rPr>
                <w:color w:val="000000"/>
                <w:lang w:val="fr-CA"/>
              </w:rPr>
              <w:t>21 février 2020</w:t>
            </w:r>
          </w:p>
          <w:p w:rsidR="009F54F7" w:rsidRPr="001E12E2" w:rsidRDefault="009F54F7" w:rsidP="00F92ACF">
            <w:r w:rsidRPr="001E12E2">
              <w:rPr>
                <w:b/>
                <w:smallCaps/>
              </w:rPr>
              <w:t>Do</w:t>
            </w:r>
            <w:r>
              <w:rPr>
                <w:b/>
                <w:smallCaps/>
              </w:rPr>
              <w:t>ssier :</w:t>
            </w:r>
            <w:r>
              <w:t xml:space="preserve"> 37912</w:t>
            </w:r>
          </w:p>
        </w:tc>
      </w:tr>
    </w:tbl>
    <w:p w:rsidR="009F54F7" w:rsidRPr="001E12E2" w:rsidRDefault="009F54F7" w:rsidP="009F54F7"/>
    <w:p w:rsidR="009F54F7" w:rsidRDefault="009F54F7" w:rsidP="009F54F7">
      <w:pPr>
        <w:pStyle w:val="SCCLsocPrefix"/>
      </w:pPr>
      <w:r>
        <w:t>Entre :</w:t>
      </w:r>
    </w:p>
    <w:p w:rsidR="009F54F7" w:rsidRPr="009F54F7" w:rsidRDefault="009F54F7" w:rsidP="009F54F7">
      <w:pPr>
        <w:pStyle w:val="SCCLsocParty"/>
        <w:jc w:val="center"/>
        <w:rPr>
          <w:lang w:val="fr-CA"/>
        </w:rPr>
      </w:pPr>
      <w:r w:rsidRPr="009F54F7">
        <w:rPr>
          <w:lang w:val="fr-CA"/>
        </w:rPr>
        <w:t>Procureur général de Terre-Neuve-et-Labrador</w:t>
      </w:r>
    </w:p>
    <w:p w:rsidR="009F54F7" w:rsidRPr="009F54F7" w:rsidRDefault="009F54F7" w:rsidP="009F54F7">
      <w:pPr>
        <w:jc w:val="center"/>
        <w:rPr>
          <w:lang w:val="fr-CA"/>
        </w:rPr>
      </w:pPr>
      <w:r w:rsidRPr="009F54F7">
        <w:rPr>
          <w:lang w:val="fr-CA"/>
        </w:rPr>
        <w:t>Appelant</w:t>
      </w:r>
    </w:p>
    <w:p w:rsidR="009F54F7" w:rsidRPr="009F54F7" w:rsidRDefault="009F54F7" w:rsidP="009F54F7">
      <w:pPr>
        <w:rPr>
          <w:lang w:val="fr-CA"/>
        </w:rPr>
      </w:pPr>
    </w:p>
    <w:p w:rsidR="009F54F7" w:rsidRPr="009F54F7" w:rsidRDefault="009F54F7" w:rsidP="009F54F7">
      <w:pPr>
        <w:pStyle w:val="SCCLsocVersus"/>
        <w:spacing w:after="0"/>
        <w:jc w:val="center"/>
        <w:rPr>
          <w:i w:val="0"/>
          <w:lang w:val="fr-CA"/>
        </w:rPr>
      </w:pPr>
      <w:proofErr w:type="gramStart"/>
      <w:r w:rsidRPr="009F54F7">
        <w:rPr>
          <w:i w:val="0"/>
          <w:lang w:val="fr-CA"/>
        </w:rPr>
        <w:t>et</w:t>
      </w:r>
      <w:proofErr w:type="gramEnd"/>
    </w:p>
    <w:p w:rsidR="009F54F7" w:rsidRPr="009F54F7" w:rsidRDefault="009F54F7" w:rsidP="009F54F7">
      <w:pPr>
        <w:rPr>
          <w:lang w:val="fr-CA"/>
        </w:rPr>
      </w:pPr>
    </w:p>
    <w:p w:rsidR="009F54F7" w:rsidRPr="009F54F7" w:rsidRDefault="009F54F7" w:rsidP="009F54F7">
      <w:pPr>
        <w:pStyle w:val="SCCLsocParty"/>
        <w:jc w:val="center"/>
        <w:rPr>
          <w:lang w:val="fr-CA"/>
        </w:rPr>
      </w:pPr>
      <w:r w:rsidRPr="009F54F7">
        <w:rPr>
          <w:lang w:val="fr-CA"/>
        </w:rPr>
        <w:t>Uashaunnuat (Innus de Uashat et de Mani-Utenam), Innus de Matimekush-Lac John, chef Georges-Ernest Grégoire, chef Réal McKenzie, Bande Innu Takuaikan Uashat Mak Mani-Utenam, Nation Innu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et Auguste Jean-Pierre</w:t>
      </w:r>
    </w:p>
    <w:p w:rsidR="009F54F7" w:rsidRPr="00C520CA" w:rsidRDefault="009F54F7" w:rsidP="009F54F7">
      <w:pPr>
        <w:jc w:val="center"/>
        <w:rPr>
          <w:lang w:val="fr-CA"/>
        </w:rPr>
      </w:pPr>
      <w:r w:rsidRPr="00C520CA">
        <w:rPr>
          <w:lang w:val="fr-CA"/>
        </w:rPr>
        <w:t>Intimés</w:t>
      </w:r>
    </w:p>
    <w:p w:rsidR="009F54F7" w:rsidRPr="00C520CA" w:rsidRDefault="009F54F7" w:rsidP="009F54F7">
      <w:pPr>
        <w:rPr>
          <w:lang w:val="fr-CA"/>
        </w:rPr>
      </w:pPr>
    </w:p>
    <w:p w:rsidR="009F54F7" w:rsidRPr="00C520CA" w:rsidRDefault="009F54F7" w:rsidP="009F54F7">
      <w:pPr>
        <w:pStyle w:val="SCCLsocOtherPartySeparator"/>
        <w:spacing w:after="0"/>
        <w:jc w:val="center"/>
        <w:rPr>
          <w:lang w:val="fr-CA"/>
        </w:rPr>
      </w:pPr>
      <w:r w:rsidRPr="00C520CA">
        <w:rPr>
          <w:lang w:val="fr-CA"/>
        </w:rPr>
        <w:t>- et -</w:t>
      </w:r>
    </w:p>
    <w:p w:rsidR="009F54F7" w:rsidRPr="00C520CA" w:rsidRDefault="009F54F7" w:rsidP="009F54F7">
      <w:pPr>
        <w:rPr>
          <w:lang w:val="fr-CA"/>
        </w:rPr>
      </w:pPr>
    </w:p>
    <w:p w:rsidR="009F54F7" w:rsidRPr="009F54F7" w:rsidRDefault="009F54F7" w:rsidP="009F54F7">
      <w:pPr>
        <w:pStyle w:val="SCCLsocParty"/>
        <w:jc w:val="center"/>
        <w:rPr>
          <w:lang w:val="fr-CA"/>
        </w:rPr>
      </w:pPr>
      <w:r w:rsidRPr="009F54F7">
        <w:rPr>
          <w:lang w:val="fr-CA"/>
        </w:rPr>
        <w:t>Procureur général du Canada, procureure générale du Québec, procureur général de la Colombie-Britannique, Compagnie minière IOC, Compagnie de chemin de fer du littoral nord de Québec et du Labrador inc., Kitigan Zibi Anishinabeg, Conseil tribal de la nation algonquine Anishinabeg, Amnistie internationale Canada et Tsawout First Nation</w:t>
      </w:r>
    </w:p>
    <w:p w:rsidR="009F54F7" w:rsidRPr="009F54F7" w:rsidRDefault="009F54F7" w:rsidP="009F54F7">
      <w:pPr>
        <w:jc w:val="center"/>
        <w:rPr>
          <w:lang w:val="fr-CA"/>
        </w:rPr>
      </w:pPr>
      <w:r w:rsidRPr="009F54F7">
        <w:rPr>
          <w:lang w:val="fr-CA"/>
        </w:rPr>
        <w:t>Intervenants</w:t>
      </w:r>
    </w:p>
    <w:p w:rsidR="009F54F7" w:rsidRPr="009F54F7" w:rsidRDefault="009F54F7" w:rsidP="009F54F7">
      <w:pPr>
        <w:rPr>
          <w:lang w:val="fr-CA"/>
        </w:rPr>
      </w:pPr>
    </w:p>
    <w:p w:rsidR="009F54F7" w:rsidRPr="009F54F7" w:rsidRDefault="009F54F7" w:rsidP="009F54F7">
      <w:pPr>
        <w:rPr>
          <w:lang w:val="fr-CA"/>
        </w:rPr>
      </w:pPr>
    </w:p>
    <w:p w:rsidR="009F54F7" w:rsidRPr="009F54F7" w:rsidRDefault="009F54F7" w:rsidP="009F54F7">
      <w:pPr>
        <w:jc w:val="center"/>
        <w:rPr>
          <w:b/>
          <w:lang w:val="fr-CA"/>
        </w:rPr>
      </w:pPr>
      <w:r w:rsidRPr="009F54F7">
        <w:rPr>
          <w:b/>
          <w:smallCaps/>
          <w:lang w:val="fr-CA"/>
        </w:rPr>
        <w:t>Traduction française officielle :</w:t>
      </w:r>
      <w:r w:rsidRPr="009F54F7">
        <w:rPr>
          <w:smallCaps/>
          <w:lang w:val="fr-CA"/>
        </w:rPr>
        <w:t xml:space="preserve"> </w:t>
      </w:r>
      <w:r w:rsidRPr="009F54F7">
        <w:rPr>
          <w:lang w:val="fr-CA"/>
        </w:rPr>
        <w:t>Motifs du juge en chef Wagner et des juges Abella et Karakatsanis</w:t>
      </w:r>
    </w:p>
    <w:p w:rsidR="009F54F7" w:rsidRPr="009F54F7" w:rsidRDefault="009F54F7" w:rsidP="009F54F7">
      <w:pPr>
        <w:rPr>
          <w:lang w:val="fr-CA"/>
        </w:rPr>
      </w:pPr>
    </w:p>
    <w:p w:rsidR="009F54F7" w:rsidRPr="009F54F7" w:rsidRDefault="009F54F7" w:rsidP="009F54F7">
      <w:pPr>
        <w:rPr>
          <w:lang w:val="fr-CA"/>
        </w:rPr>
      </w:pPr>
      <w:r w:rsidRPr="009F54F7">
        <w:rPr>
          <w:b/>
          <w:smallCaps/>
          <w:lang w:val="fr-CA"/>
        </w:rPr>
        <w:t>Coram :</w:t>
      </w:r>
      <w:r w:rsidRPr="009F54F7">
        <w:rPr>
          <w:lang w:val="fr-CA"/>
        </w:rPr>
        <w:t xml:space="preserve"> Le juge en chef Wagner et les juges Abella, Moldaver, Karakatsanis, Gascon, Côté, Brown, Rowe et Martin</w:t>
      </w:r>
    </w:p>
    <w:p w:rsidR="009F54F7" w:rsidRPr="009F54F7" w:rsidRDefault="009F54F7" w:rsidP="009F54F7">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86"/>
        <w:gridCol w:w="5890"/>
      </w:tblGrid>
      <w:tr w:rsidR="009F54F7" w:rsidRPr="00F92ACF" w:rsidTr="00F92ACF">
        <w:trPr>
          <w:cantSplit/>
        </w:trPr>
        <w:tc>
          <w:tcPr>
            <w:tcW w:w="3686" w:type="dxa"/>
          </w:tcPr>
          <w:p w:rsidR="009F54F7" w:rsidRPr="009F54F7" w:rsidRDefault="009F54F7" w:rsidP="00F92ACF">
            <w:pPr>
              <w:rPr>
                <w:b/>
                <w:smallCaps/>
                <w:lang w:val="fr-CA"/>
              </w:rPr>
            </w:pPr>
            <w:r w:rsidRPr="009F54F7">
              <w:rPr>
                <w:b/>
                <w:smallCaps/>
                <w:lang w:val="fr-CA"/>
              </w:rPr>
              <w:t>Motifs de jugement conjoints :</w:t>
            </w:r>
          </w:p>
          <w:p w:rsidR="009F54F7" w:rsidRPr="009F54F7" w:rsidRDefault="009F54F7" w:rsidP="00F92ACF">
            <w:pPr>
              <w:rPr>
                <w:lang w:val="fr-CA"/>
              </w:rPr>
            </w:pPr>
            <w:r w:rsidRPr="009F54F7">
              <w:rPr>
                <w:lang w:val="fr-CA"/>
              </w:rPr>
              <w:t>(par. 1 à 73)</w:t>
            </w:r>
          </w:p>
          <w:p w:rsidR="009F54F7" w:rsidRPr="009F54F7" w:rsidRDefault="009F54F7" w:rsidP="00F92ACF">
            <w:pPr>
              <w:rPr>
                <w:lang w:val="fr-CA"/>
              </w:rPr>
            </w:pPr>
          </w:p>
          <w:p w:rsidR="009F54F7" w:rsidRPr="009F54F7" w:rsidRDefault="009F54F7" w:rsidP="00F92ACF">
            <w:pPr>
              <w:rPr>
                <w:color w:val="000000"/>
                <w:lang w:val="fr-CA"/>
              </w:rPr>
            </w:pPr>
            <w:r w:rsidRPr="009F54F7">
              <w:rPr>
                <w:b/>
                <w:bCs/>
                <w:smallCaps/>
                <w:color w:val="000000"/>
                <w:lang w:val="fr-CA"/>
              </w:rPr>
              <w:t>Motifs conjoints dissidents :</w:t>
            </w:r>
          </w:p>
          <w:p w:rsidR="009F54F7" w:rsidRPr="009F54F7" w:rsidRDefault="009F54F7" w:rsidP="00F92ACF">
            <w:pPr>
              <w:rPr>
                <w:lang w:val="fr-CA"/>
              </w:rPr>
            </w:pPr>
            <w:r w:rsidRPr="009F54F7">
              <w:rPr>
                <w:lang w:val="fr-CA"/>
              </w:rPr>
              <w:t>(par. 74 à 297)</w:t>
            </w:r>
          </w:p>
        </w:tc>
        <w:tc>
          <w:tcPr>
            <w:tcW w:w="5890" w:type="dxa"/>
          </w:tcPr>
          <w:p w:rsidR="009F54F7" w:rsidRPr="009F54F7" w:rsidRDefault="009F54F7" w:rsidP="00F92ACF">
            <w:pPr>
              <w:jc w:val="both"/>
              <w:rPr>
                <w:lang w:val="fr-CA"/>
              </w:rPr>
            </w:pPr>
            <w:r w:rsidRPr="009F54F7">
              <w:rPr>
                <w:lang w:val="fr-CA"/>
              </w:rPr>
              <w:t>Le juge en chef Wagner et les juges Abella et Karakatsanis (avec l’accord des juges Gascon et Martin)</w:t>
            </w:r>
          </w:p>
          <w:p w:rsidR="009F54F7" w:rsidRPr="009F54F7" w:rsidRDefault="009F54F7" w:rsidP="00F92ACF">
            <w:pPr>
              <w:rPr>
                <w:lang w:val="fr-CA"/>
              </w:rPr>
            </w:pPr>
          </w:p>
          <w:p w:rsidR="009F54F7" w:rsidRPr="009F54F7" w:rsidRDefault="009F54F7" w:rsidP="00F92ACF">
            <w:pPr>
              <w:jc w:val="both"/>
              <w:rPr>
                <w:lang w:val="fr-CA"/>
              </w:rPr>
            </w:pPr>
            <w:r w:rsidRPr="009F54F7">
              <w:rPr>
                <w:lang w:val="fr-CA"/>
              </w:rPr>
              <w:t>Les juges Brown et Rowe (avec l’accord des juges Moldaver et Côté)</w:t>
            </w:r>
          </w:p>
        </w:tc>
      </w:tr>
    </w:tbl>
    <w:p w:rsidR="009F54F7" w:rsidRPr="009F54F7" w:rsidRDefault="009F54F7" w:rsidP="009F54F7">
      <w:pPr>
        <w:rPr>
          <w:lang w:val="fr-CA"/>
        </w:rPr>
      </w:pPr>
    </w:p>
    <w:p w:rsidR="009F54F7" w:rsidRPr="009F54F7" w:rsidRDefault="009F54F7" w:rsidP="009F54F7">
      <w:pPr>
        <w:rPr>
          <w:lang w:val="fr-CA"/>
        </w:rPr>
      </w:pPr>
      <w:r>
        <w:rPr>
          <w:noProof/>
        </w:rPr>
        <mc:AlternateContent>
          <mc:Choice Requires="wps">
            <w:drawing>
              <wp:anchor distT="0" distB="0" distL="114300" distR="114300" simplePos="0" relativeHeight="251659264" behindDoc="0" locked="0" layoutInCell="1" allowOverlap="1" wp14:anchorId="1F0299E3" wp14:editId="41D64C1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FCF5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F54F7" w:rsidRDefault="009F54F7" w:rsidP="00B820BA">
      <w:pPr>
        <w:spacing w:after="720"/>
        <w:jc w:val="both"/>
        <w:rPr>
          <w:smallCaps/>
          <w:lang w:val="fr-CA"/>
        </w:rPr>
      </w:pPr>
      <w:r>
        <w:rPr>
          <w:smallCaps/>
          <w:lang w:val="fr-CA"/>
        </w:rPr>
        <w:br w:type="page"/>
      </w:r>
    </w:p>
    <w:p w:rsidR="00103A53" w:rsidRPr="009471AB" w:rsidRDefault="00D36A59" w:rsidP="00B820BA">
      <w:pPr>
        <w:pStyle w:val="SCCLsocLastPartyInRole"/>
        <w:rPr>
          <w:lang w:val="fr-CA"/>
        </w:rPr>
      </w:pPr>
      <w:r w:rsidRPr="009471AB">
        <w:rPr>
          <w:lang w:val="fr-CA"/>
        </w:rPr>
        <w:lastRenderedPageBreak/>
        <w:t>Procureur général de Terre</w:t>
      </w:r>
      <w:r w:rsidR="000916C5">
        <w:rPr>
          <w:lang w:val="fr-CA"/>
        </w:rPr>
        <w:noBreakHyphen/>
      </w:r>
      <w:r w:rsidRPr="009471AB">
        <w:rPr>
          <w:lang w:val="fr-CA"/>
        </w:rPr>
        <w:t>Neuve</w:t>
      </w:r>
      <w:r w:rsidR="000916C5">
        <w:rPr>
          <w:lang w:val="fr-CA"/>
        </w:rPr>
        <w:noBreakHyphen/>
      </w:r>
      <w:r w:rsidRPr="009471AB">
        <w:rPr>
          <w:lang w:val="fr-CA"/>
        </w:rPr>
        <w:t>et</w:t>
      </w:r>
      <w:r w:rsidR="000916C5">
        <w:rPr>
          <w:lang w:val="fr-CA"/>
        </w:rPr>
        <w:noBreakHyphen/>
      </w:r>
      <w:r w:rsidRPr="009471AB">
        <w:rPr>
          <w:lang w:val="fr-CA"/>
        </w:rPr>
        <w:t>Labrador</w:t>
      </w:r>
      <w:r w:rsidR="009471AB">
        <w:rPr>
          <w:rStyle w:val="SCCLsocPartyRole"/>
          <w:lang w:val="fr-CA"/>
        </w:rPr>
        <w:tab/>
        <w:t>Appelant</w:t>
      </w:r>
    </w:p>
    <w:p w:rsidR="00103A53" w:rsidRPr="009471AB" w:rsidRDefault="00D36A59" w:rsidP="00B820BA">
      <w:pPr>
        <w:pStyle w:val="SCCLsocVersus"/>
        <w:rPr>
          <w:lang w:val="fr-CA"/>
        </w:rPr>
      </w:pPr>
      <w:proofErr w:type="gramStart"/>
      <w:r w:rsidRPr="009471AB">
        <w:rPr>
          <w:lang w:val="fr-CA"/>
        </w:rPr>
        <w:t>c</w:t>
      </w:r>
      <w:proofErr w:type="gramEnd"/>
      <w:r w:rsidRPr="009471AB">
        <w:rPr>
          <w:lang w:val="fr-CA"/>
        </w:rPr>
        <w:t>.</w:t>
      </w:r>
    </w:p>
    <w:p w:rsidR="00103A53" w:rsidRPr="009471AB" w:rsidRDefault="00D36A59">
      <w:pPr>
        <w:pStyle w:val="SCCLsocParty"/>
        <w:rPr>
          <w:lang w:val="fr-CA"/>
        </w:rPr>
      </w:pPr>
      <w:r w:rsidRPr="009471AB">
        <w:rPr>
          <w:lang w:val="fr-CA"/>
        </w:rPr>
        <w:t xml:space="preserve">Uashaunnuat (Innus </w:t>
      </w:r>
      <w:proofErr w:type="gramStart"/>
      <w:r w:rsidRPr="009471AB">
        <w:rPr>
          <w:lang w:val="fr-CA"/>
        </w:rPr>
        <w:t>de Uashat</w:t>
      </w:r>
      <w:proofErr w:type="gramEnd"/>
      <w:r w:rsidRPr="009471AB">
        <w:rPr>
          <w:lang w:val="fr-CA"/>
        </w:rPr>
        <w:t xml:space="preserve"> et de</w:t>
      </w:r>
      <w:r w:rsidR="00CC6234">
        <w:rPr>
          <w:lang w:val="fr-CA"/>
        </w:rPr>
        <w:t xml:space="preserve"> </w:t>
      </w:r>
      <w:r w:rsidRPr="009471AB">
        <w:rPr>
          <w:lang w:val="fr-CA"/>
        </w:rPr>
        <w:t>Mani</w:t>
      </w:r>
      <w:r w:rsidR="000916C5">
        <w:rPr>
          <w:lang w:val="fr-CA"/>
        </w:rPr>
        <w:noBreakHyphen/>
      </w:r>
      <w:r w:rsidRPr="009471AB">
        <w:rPr>
          <w:lang w:val="fr-CA"/>
        </w:rPr>
        <w:t>Utenam),</w:t>
      </w:r>
    </w:p>
    <w:p w:rsidR="00103A53" w:rsidRPr="009471AB" w:rsidRDefault="00D36A59">
      <w:pPr>
        <w:pStyle w:val="SCCLsocParty"/>
        <w:rPr>
          <w:lang w:val="fr-CA"/>
        </w:rPr>
      </w:pPr>
      <w:r w:rsidRPr="009471AB">
        <w:rPr>
          <w:lang w:val="fr-CA"/>
        </w:rPr>
        <w:t>Innus de Matimekush</w:t>
      </w:r>
      <w:r w:rsidR="000916C5">
        <w:rPr>
          <w:lang w:val="fr-CA"/>
        </w:rPr>
        <w:noBreakHyphen/>
      </w:r>
      <w:r w:rsidRPr="009471AB">
        <w:rPr>
          <w:lang w:val="fr-CA"/>
        </w:rPr>
        <w:t>Lac John,</w:t>
      </w:r>
    </w:p>
    <w:p w:rsidR="00D20D04" w:rsidRDefault="00D36A59">
      <w:pPr>
        <w:pStyle w:val="SCCLsocParty"/>
        <w:rPr>
          <w:lang w:val="fr-CA"/>
        </w:rPr>
      </w:pPr>
      <w:proofErr w:type="gramStart"/>
      <w:r w:rsidRPr="009471AB">
        <w:rPr>
          <w:lang w:val="fr-CA"/>
        </w:rPr>
        <w:t>chef</w:t>
      </w:r>
      <w:proofErr w:type="gramEnd"/>
      <w:r w:rsidRPr="009471AB">
        <w:rPr>
          <w:lang w:val="fr-CA"/>
        </w:rPr>
        <w:t xml:space="preserve"> Georges</w:t>
      </w:r>
      <w:r w:rsidR="000916C5">
        <w:rPr>
          <w:lang w:val="fr-CA"/>
        </w:rPr>
        <w:noBreakHyphen/>
      </w:r>
      <w:r w:rsidRPr="009471AB">
        <w:rPr>
          <w:lang w:val="fr-CA"/>
        </w:rPr>
        <w:t>Ernes</w:t>
      </w:r>
      <w:r w:rsidR="00D20D04">
        <w:rPr>
          <w:lang w:val="fr-CA"/>
        </w:rPr>
        <w:t>t Grégoire, chef Réal McKenzie,</w:t>
      </w:r>
    </w:p>
    <w:p w:rsidR="00D20D04" w:rsidRPr="0095567B" w:rsidRDefault="00D36A59">
      <w:pPr>
        <w:pStyle w:val="SCCLsocParty"/>
      </w:pPr>
      <w:r w:rsidRPr="0095567B">
        <w:t>Bande Innu Takuaikan Uashat Mak Mani</w:t>
      </w:r>
      <w:r w:rsidR="000916C5" w:rsidRPr="0095567B">
        <w:noBreakHyphen/>
      </w:r>
      <w:r w:rsidRPr="0095567B">
        <w:t>Utenam,</w:t>
      </w:r>
    </w:p>
    <w:p w:rsidR="00D20D04" w:rsidRPr="0095567B" w:rsidRDefault="00D36A59" w:rsidP="00BA3593">
      <w:pPr>
        <w:pStyle w:val="SCCLsocParty"/>
      </w:pPr>
      <w:r w:rsidRPr="0095567B">
        <w:t>Nation Innu Matimekush</w:t>
      </w:r>
      <w:r w:rsidR="000916C5" w:rsidRPr="0095567B">
        <w:noBreakHyphen/>
      </w:r>
      <w:r w:rsidRPr="0095567B">
        <w:t>Lac John,</w:t>
      </w:r>
      <w:r w:rsidR="00D20D04" w:rsidRPr="0095567B">
        <w:t xml:space="preserve"> </w:t>
      </w:r>
      <w:r w:rsidRPr="0095567B">
        <w:t>Mike McKenzie, Yves Rock,</w:t>
      </w:r>
    </w:p>
    <w:p w:rsidR="00D20D04" w:rsidRPr="0095567B" w:rsidRDefault="00D36A59" w:rsidP="00BA3593">
      <w:pPr>
        <w:pStyle w:val="SCCLsocParty"/>
      </w:pPr>
      <w:r w:rsidRPr="0095567B">
        <w:t>Jonathan McKenzie, Ronald Fontaine, Marie</w:t>
      </w:r>
      <w:r w:rsidR="000916C5" w:rsidRPr="0095567B">
        <w:noBreakHyphen/>
      </w:r>
      <w:r w:rsidRPr="0095567B">
        <w:t>Marthe Fontaine,</w:t>
      </w:r>
    </w:p>
    <w:p w:rsidR="00D20D04" w:rsidRPr="0095567B" w:rsidRDefault="00D36A59" w:rsidP="00BA3593">
      <w:pPr>
        <w:pStyle w:val="SCCLsocParty"/>
      </w:pPr>
      <w:r w:rsidRPr="0095567B">
        <w:t>Marcelle St</w:t>
      </w:r>
      <w:r w:rsidR="000916C5" w:rsidRPr="0095567B">
        <w:noBreakHyphen/>
      </w:r>
      <w:r w:rsidRPr="0095567B">
        <w:t>Onge, Évelyne St</w:t>
      </w:r>
      <w:r w:rsidR="000916C5" w:rsidRPr="0095567B">
        <w:noBreakHyphen/>
      </w:r>
      <w:r w:rsidRPr="0095567B">
        <w:t>Onge, William Fontaine, Adélard Joseph,</w:t>
      </w:r>
    </w:p>
    <w:p w:rsidR="00D20D04" w:rsidRPr="0095567B" w:rsidRDefault="00D36A59" w:rsidP="00BA3593">
      <w:pPr>
        <w:pStyle w:val="SCCLsocParty"/>
      </w:pPr>
      <w:r w:rsidRPr="0095567B">
        <w:t>Caroline Gabriel, Marie</w:t>
      </w:r>
      <w:r w:rsidR="000916C5" w:rsidRPr="0095567B">
        <w:noBreakHyphen/>
      </w:r>
      <w:r w:rsidRPr="0095567B">
        <w:t>Marthe McKenzie, Marie</w:t>
      </w:r>
      <w:r w:rsidR="000916C5" w:rsidRPr="0095567B">
        <w:noBreakHyphen/>
      </w:r>
      <w:r w:rsidR="00D20D04" w:rsidRPr="0095567B">
        <w:t>Line Ambroise,</w:t>
      </w:r>
    </w:p>
    <w:p w:rsidR="00D20D04" w:rsidRPr="00F731C9" w:rsidRDefault="00D36A59" w:rsidP="00BA3593">
      <w:pPr>
        <w:pStyle w:val="SCCLsocParty"/>
        <w:rPr>
          <w:lang w:val="de-DE"/>
        </w:rPr>
      </w:pPr>
      <w:r w:rsidRPr="00F731C9">
        <w:rPr>
          <w:lang w:val="de-DE"/>
        </w:rPr>
        <w:t>Paco Vachon,</w:t>
      </w:r>
      <w:r w:rsidR="00BA3593" w:rsidRPr="00F731C9">
        <w:rPr>
          <w:lang w:val="de-DE"/>
        </w:rPr>
        <w:t xml:space="preserve"> </w:t>
      </w:r>
      <w:r w:rsidRPr="00F731C9">
        <w:rPr>
          <w:lang w:val="de-DE"/>
        </w:rPr>
        <w:t>Albert Vollant,</w:t>
      </w:r>
      <w:r w:rsidR="005B57DE">
        <w:rPr>
          <w:lang w:val="de-DE"/>
        </w:rPr>
        <w:t xml:space="preserve"> Raoul Vollant, Gilbert Michel,</w:t>
      </w:r>
    </w:p>
    <w:p w:rsidR="00103A53" w:rsidRPr="009471AB" w:rsidRDefault="00D36A59" w:rsidP="005D7E55">
      <w:pPr>
        <w:pStyle w:val="SCCLsocParty"/>
        <w:spacing w:after="720"/>
        <w:rPr>
          <w:lang w:val="fr-CA"/>
        </w:rPr>
      </w:pPr>
      <w:r w:rsidRPr="009471AB">
        <w:rPr>
          <w:lang w:val="fr-CA"/>
        </w:rPr>
        <w:t>Agn</w:t>
      </w:r>
      <w:r w:rsidR="00F22873">
        <w:rPr>
          <w:lang w:val="fr-CA"/>
        </w:rPr>
        <w:t xml:space="preserve">ès McKenzie, Philippe McKenzie et </w:t>
      </w:r>
      <w:r w:rsidRPr="009471AB">
        <w:rPr>
          <w:lang w:val="fr-CA"/>
        </w:rPr>
        <w:t>Auguste Jean</w:t>
      </w:r>
      <w:r w:rsidR="000916C5">
        <w:rPr>
          <w:lang w:val="fr-CA"/>
        </w:rPr>
        <w:noBreakHyphen/>
      </w:r>
      <w:r w:rsidRPr="009471AB">
        <w:rPr>
          <w:lang w:val="fr-CA"/>
        </w:rPr>
        <w:t>Pierre</w:t>
      </w:r>
      <w:r w:rsidR="009471AB">
        <w:rPr>
          <w:rStyle w:val="SCCLsocPartyRole"/>
          <w:lang w:val="fr-CA"/>
        </w:rPr>
        <w:tab/>
        <w:t>Intimé</w:t>
      </w:r>
      <w:r w:rsidRPr="009471AB">
        <w:rPr>
          <w:rStyle w:val="SCCLsocPartyRole"/>
          <w:lang w:val="fr-CA"/>
        </w:rPr>
        <w:t>s</w:t>
      </w:r>
    </w:p>
    <w:p w:rsidR="00103A53" w:rsidRPr="009471AB" w:rsidRDefault="00D36A59" w:rsidP="00B820BA">
      <w:pPr>
        <w:pStyle w:val="SCCLsocOtherPartySeparator"/>
        <w:rPr>
          <w:lang w:val="fr-CA"/>
        </w:rPr>
      </w:pPr>
      <w:proofErr w:type="gramStart"/>
      <w:r w:rsidRPr="009471AB">
        <w:rPr>
          <w:lang w:val="fr-CA"/>
        </w:rPr>
        <w:t>et</w:t>
      </w:r>
      <w:proofErr w:type="gramEnd"/>
    </w:p>
    <w:p w:rsidR="00103A53" w:rsidRPr="009471AB" w:rsidRDefault="00D36A59" w:rsidP="00CA7807">
      <w:pPr>
        <w:pStyle w:val="SCCLsocParty"/>
        <w:tabs>
          <w:tab w:val="clear" w:pos="8222"/>
          <w:tab w:val="left" w:pos="4950"/>
        </w:tabs>
        <w:rPr>
          <w:lang w:val="fr-CA"/>
        </w:rPr>
      </w:pPr>
      <w:r w:rsidRPr="009471AB">
        <w:rPr>
          <w:lang w:val="fr-CA"/>
        </w:rPr>
        <w:t>Procureur général du Canada,</w:t>
      </w:r>
    </w:p>
    <w:p w:rsidR="00103A53" w:rsidRPr="009471AB" w:rsidRDefault="009471AB">
      <w:pPr>
        <w:pStyle w:val="SCCLsocParty"/>
        <w:rPr>
          <w:lang w:val="fr-CA"/>
        </w:rPr>
      </w:pPr>
      <w:proofErr w:type="gramStart"/>
      <w:r>
        <w:rPr>
          <w:lang w:val="fr-CA"/>
        </w:rPr>
        <w:t>p</w:t>
      </w:r>
      <w:r w:rsidR="00D36A59" w:rsidRPr="009471AB">
        <w:rPr>
          <w:lang w:val="fr-CA"/>
        </w:rPr>
        <w:t>rocureure</w:t>
      </w:r>
      <w:proofErr w:type="gramEnd"/>
      <w:r w:rsidR="00D36A59" w:rsidRPr="009471AB">
        <w:rPr>
          <w:lang w:val="fr-CA"/>
        </w:rPr>
        <w:t xml:space="preserve"> générale du Québec,</w:t>
      </w:r>
    </w:p>
    <w:p w:rsidR="00103A53" w:rsidRPr="00C92EF4" w:rsidRDefault="009471AB">
      <w:pPr>
        <w:pStyle w:val="SCCLsocParty"/>
        <w:rPr>
          <w:lang w:val="fr-CA"/>
        </w:rPr>
      </w:pPr>
      <w:proofErr w:type="gramStart"/>
      <w:r w:rsidRPr="00C92EF4">
        <w:rPr>
          <w:lang w:val="fr-CA"/>
        </w:rPr>
        <w:t>p</w:t>
      </w:r>
      <w:r w:rsidR="00D36A59" w:rsidRPr="00C92EF4">
        <w:rPr>
          <w:lang w:val="fr-CA"/>
        </w:rPr>
        <w:t>rocureur</w:t>
      </w:r>
      <w:proofErr w:type="gramEnd"/>
      <w:r w:rsidR="00D36A59" w:rsidRPr="00C92EF4">
        <w:rPr>
          <w:lang w:val="fr-CA"/>
        </w:rPr>
        <w:t xml:space="preserve"> général de la Colombie</w:t>
      </w:r>
      <w:r w:rsidR="000916C5" w:rsidRPr="00C92EF4">
        <w:rPr>
          <w:lang w:val="fr-CA"/>
        </w:rPr>
        <w:noBreakHyphen/>
      </w:r>
      <w:r w:rsidR="00D36A59" w:rsidRPr="00C92EF4">
        <w:rPr>
          <w:lang w:val="fr-CA"/>
        </w:rPr>
        <w:t>Britannique,</w:t>
      </w:r>
    </w:p>
    <w:p w:rsidR="00FA5F7D" w:rsidRDefault="00F22873">
      <w:pPr>
        <w:pStyle w:val="SCCLsocParty"/>
        <w:rPr>
          <w:lang w:val="fr-CA"/>
        </w:rPr>
      </w:pPr>
      <w:r w:rsidRPr="00C92EF4">
        <w:rPr>
          <w:lang w:val="fr-CA"/>
        </w:rPr>
        <w:t>Compagnie minière IOC</w:t>
      </w:r>
      <w:r w:rsidR="005B57DE">
        <w:rPr>
          <w:lang w:val="fr-CA"/>
        </w:rPr>
        <w:t>,</w:t>
      </w:r>
    </w:p>
    <w:p w:rsidR="00103A53" w:rsidRPr="00C92EF4" w:rsidRDefault="00D36A59">
      <w:pPr>
        <w:pStyle w:val="SCCLsocParty"/>
        <w:rPr>
          <w:lang w:val="fr-CA"/>
        </w:rPr>
      </w:pPr>
      <w:r w:rsidRPr="00C92EF4">
        <w:rPr>
          <w:lang w:val="fr-CA"/>
        </w:rPr>
        <w:t>Compagnie de chemin de fer du littoral nord de Québec et du Labrador inc</w:t>
      </w:r>
      <w:proofErr w:type="gramStart"/>
      <w:r w:rsidRPr="00C92EF4">
        <w:rPr>
          <w:lang w:val="fr-CA"/>
        </w:rPr>
        <w:t>.,</w:t>
      </w:r>
      <w:proofErr w:type="gramEnd"/>
    </w:p>
    <w:p w:rsidR="00855F89" w:rsidRDefault="005B57DE">
      <w:pPr>
        <w:pStyle w:val="SCCLsocParty"/>
        <w:rPr>
          <w:lang w:val="fr-CA"/>
        </w:rPr>
      </w:pPr>
      <w:r>
        <w:rPr>
          <w:lang w:val="fr-CA"/>
        </w:rPr>
        <w:t>Kitigan Zibi Anishinabeg,</w:t>
      </w:r>
    </w:p>
    <w:p w:rsidR="00103A53" w:rsidRPr="00C92EF4" w:rsidRDefault="00D36A59">
      <w:pPr>
        <w:pStyle w:val="SCCLsocParty"/>
        <w:rPr>
          <w:lang w:val="fr-CA"/>
        </w:rPr>
      </w:pPr>
      <w:r w:rsidRPr="00C92EF4">
        <w:rPr>
          <w:lang w:val="fr-CA"/>
        </w:rPr>
        <w:t>Conseil tribal de la nation algonquine Anishinabeg,</w:t>
      </w:r>
    </w:p>
    <w:p w:rsidR="00103A53" w:rsidRPr="00C92EF4" w:rsidRDefault="00D74730">
      <w:pPr>
        <w:pStyle w:val="SCCLsocParty"/>
        <w:rPr>
          <w:lang w:val="fr-CA"/>
        </w:rPr>
      </w:pPr>
      <w:r w:rsidRPr="00C92EF4">
        <w:rPr>
          <w:lang w:val="fr-CA"/>
        </w:rPr>
        <w:t xml:space="preserve">Amnistie </w:t>
      </w:r>
      <w:r w:rsidR="004C12C4">
        <w:rPr>
          <w:lang w:val="fr-CA"/>
        </w:rPr>
        <w:t>i</w:t>
      </w:r>
      <w:r w:rsidRPr="00C92EF4">
        <w:rPr>
          <w:lang w:val="fr-CA"/>
        </w:rPr>
        <w:t>nternationale Canada et</w:t>
      </w:r>
    </w:p>
    <w:p w:rsidR="00103A53" w:rsidRPr="009471AB" w:rsidRDefault="00D36A59" w:rsidP="00B820BA">
      <w:pPr>
        <w:pStyle w:val="SCCLsocLastPartyInRole"/>
        <w:rPr>
          <w:lang w:val="fr-CA"/>
        </w:rPr>
      </w:pPr>
      <w:r w:rsidRPr="00C92EF4">
        <w:rPr>
          <w:lang w:val="fr-CA"/>
        </w:rPr>
        <w:t>Tsawout First Nation</w:t>
      </w:r>
      <w:r w:rsidR="009471AB">
        <w:rPr>
          <w:rStyle w:val="SCCLsocPartyRole"/>
          <w:lang w:val="fr-CA"/>
        </w:rPr>
        <w:tab/>
        <w:t>Intervenant</w:t>
      </w:r>
      <w:r w:rsidRPr="009471AB">
        <w:rPr>
          <w:rStyle w:val="SCCLsocPartyRole"/>
          <w:lang w:val="fr-CA"/>
        </w:rPr>
        <w:t>s</w:t>
      </w:r>
    </w:p>
    <w:p w:rsidR="004D7D95" w:rsidRPr="00CC0CE4" w:rsidRDefault="00CC0CE4" w:rsidP="00B820BA">
      <w:pPr>
        <w:spacing w:after="720"/>
        <w:jc w:val="both"/>
        <w:rPr>
          <w:b/>
          <w:lang w:val="fr-CA"/>
        </w:rPr>
      </w:pPr>
      <w:r w:rsidRPr="000A2AD8">
        <w:rPr>
          <w:b/>
          <w:lang w:val="fr-CA"/>
        </w:rPr>
        <w:t>Répertorié</w:t>
      </w:r>
      <w:r w:rsidR="000916C5" w:rsidRPr="000A2AD8">
        <w:rPr>
          <w:b/>
          <w:lang w:val="fr-CA"/>
        </w:rPr>
        <w:t> :</w:t>
      </w:r>
      <w:r w:rsidRPr="000A2AD8">
        <w:rPr>
          <w:b/>
          <w:lang w:val="fr-CA"/>
        </w:rPr>
        <w:t> Terre</w:t>
      </w:r>
      <w:r w:rsidR="000916C5" w:rsidRPr="000A2AD8">
        <w:rPr>
          <w:b/>
          <w:lang w:val="fr-CA"/>
        </w:rPr>
        <w:noBreakHyphen/>
      </w:r>
      <w:r w:rsidRPr="000A2AD8">
        <w:rPr>
          <w:b/>
          <w:lang w:val="fr-CA"/>
        </w:rPr>
        <w:t>Neuve</w:t>
      </w:r>
      <w:r w:rsidR="000916C5" w:rsidRPr="000A2AD8">
        <w:rPr>
          <w:b/>
          <w:lang w:val="fr-CA"/>
        </w:rPr>
        <w:noBreakHyphen/>
      </w:r>
      <w:r w:rsidRPr="000A2AD8">
        <w:rPr>
          <w:b/>
          <w:lang w:val="fr-CA"/>
        </w:rPr>
        <w:t>et</w:t>
      </w:r>
      <w:r w:rsidR="000916C5" w:rsidRPr="000A2AD8">
        <w:rPr>
          <w:b/>
          <w:lang w:val="fr-CA"/>
        </w:rPr>
        <w:noBreakHyphen/>
      </w:r>
      <w:r w:rsidRPr="000A2AD8">
        <w:rPr>
          <w:b/>
          <w:lang w:val="fr-CA"/>
        </w:rPr>
        <w:t>Labrador (</w:t>
      </w:r>
      <w:r w:rsidR="004D7D95" w:rsidRPr="000A2AD8">
        <w:rPr>
          <w:rStyle w:val="SCCAppellantForIndexChar"/>
          <w:lang w:val="fr-CA"/>
        </w:rPr>
        <w:t>Procureur général</w:t>
      </w:r>
      <w:r w:rsidRPr="000A2AD8">
        <w:rPr>
          <w:rStyle w:val="SCCAppellantForIndexChar"/>
          <w:lang w:val="fr-CA"/>
        </w:rPr>
        <w:t>)</w:t>
      </w:r>
      <w:r w:rsidR="004D7D95" w:rsidRPr="000A2AD8">
        <w:rPr>
          <w:rStyle w:val="SCCAppellantForIndexChar"/>
          <w:lang w:val="fr-CA"/>
        </w:rPr>
        <w:t xml:space="preserve"> </w:t>
      </w:r>
      <w:r w:rsidR="004D7D95" w:rsidRPr="000A2AD8">
        <w:rPr>
          <w:b/>
          <w:i/>
          <w:lang w:val="fr-CA"/>
        </w:rPr>
        <w:t>c.</w:t>
      </w:r>
      <w:r w:rsidR="004D7D95" w:rsidRPr="000A2AD8">
        <w:rPr>
          <w:b/>
          <w:lang w:val="fr-CA"/>
        </w:rPr>
        <w:t xml:space="preserve"> </w:t>
      </w:r>
      <w:r w:rsidR="004D7D95" w:rsidRPr="000A2AD8">
        <w:rPr>
          <w:rStyle w:val="SCCRespondentForIndexChar"/>
          <w:lang w:val="fr-CA"/>
        </w:rPr>
        <w:t xml:space="preserve">Uashaunnuat (Innus </w:t>
      </w:r>
      <w:r w:rsidRPr="000A2AD8">
        <w:rPr>
          <w:b/>
          <w:lang w:val="fr-CA"/>
        </w:rPr>
        <w:t>de Uashat et de Mani</w:t>
      </w:r>
      <w:r w:rsidR="000916C5" w:rsidRPr="000A2AD8">
        <w:rPr>
          <w:b/>
          <w:lang w:val="fr-CA"/>
        </w:rPr>
        <w:noBreakHyphen/>
      </w:r>
      <w:r w:rsidRPr="000A2AD8">
        <w:rPr>
          <w:b/>
          <w:lang w:val="fr-CA"/>
        </w:rPr>
        <w:t>Utenam)</w:t>
      </w:r>
    </w:p>
    <w:p w:rsidR="004D7D95" w:rsidRPr="009471AB" w:rsidRDefault="004B73B9" w:rsidP="00B820BA">
      <w:pPr>
        <w:pStyle w:val="SCCSystemYear"/>
        <w:spacing w:after="720"/>
        <w:jc w:val="both"/>
        <w:rPr>
          <w:lang w:val="fr-CA"/>
        </w:rPr>
      </w:pPr>
      <w:r>
        <w:rPr>
          <w:lang w:val="fr-CA"/>
        </w:rPr>
        <w:t>2020</w:t>
      </w:r>
      <w:r w:rsidR="000A2AD8">
        <w:rPr>
          <w:lang w:val="fr-CA"/>
        </w:rPr>
        <w:t xml:space="preserve"> CSC </w:t>
      </w:r>
      <w:r w:rsidR="00621080" w:rsidRPr="00621080">
        <w:rPr>
          <w:lang w:val="fr-CA"/>
        </w:rPr>
        <w:t>4</w:t>
      </w:r>
    </w:p>
    <w:p w:rsidR="004D7D95" w:rsidRPr="009471AB" w:rsidRDefault="004D7D95" w:rsidP="00B820BA">
      <w:pPr>
        <w:spacing w:after="720"/>
        <w:jc w:val="both"/>
        <w:rPr>
          <w:lang w:val="fr-CA"/>
        </w:rPr>
      </w:pPr>
      <w:r w:rsidRPr="009471AB">
        <w:rPr>
          <w:lang w:val="fr-CA"/>
        </w:rPr>
        <w:t>N</w:t>
      </w:r>
      <w:r w:rsidRPr="009471AB">
        <w:rPr>
          <w:vertAlign w:val="superscript"/>
          <w:lang w:val="fr-CA"/>
        </w:rPr>
        <w:t>o</w:t>
      </w:r>
      <w:r w:rsidRPr="009471AB">
        <w:rPr>
          <w:lang w:val="fr-CA"/>
        </w:rPr>
        <w:t xml:space="preserve"> du greffe</w:t>
      </w:r>
      <w:r w:rsidR="000916C5">
        <w:rPr>
          <w:lang w:val="fr-CA"/>
        </w:rPr>
        <w:t> :</w:t>
      </w:r>
      <w:r w:rsidRPr="009471AB">
        <w:rPr>
          <w:lang w:val="fr-CA"/>
        </w:rPr>
        <w:t> 37912.</w:t>
      </w:r>
    </w:p>
    <w:p w:rsidR="004D7D95" w:rsidRPr="009471AB" w:rsidRDefault="00D17B0E" w:rsidP="00B820BA">
      <w:pPr>
        <w:spacing w:after="720"/>
        <w:jc w:val="both"/>
        <w:rPr>
          <w:lang w:val="fr-CA"/>
        </w:rPr>
      </w:pPr>
      <w:r w:rsidRPr="009471AB">
        <w:rPr>
          <w:lang w:val="fr-CA"/>
        </w:rPr>
        <w:t>2019</w:t>
      </w:r>
      <w:r w:rsidR="000916C5">
        <w:rPr>
          <w:lang w:val="fr-CA"/>
        </w:rPr>
        <w:t> : 24 </w:t>
      </w:r>
      <w:r w:rsidRPr="009471AB">
        <w:rPr>
          <w:lang w:val="fr-CA"/>
        </w:rPr>
        <w:t>avril</w:t>
      </w:r>
      <w:r w:rsidR="00C70E7E">
        <w:rPr>
          <w:lang w:val="fr-CA"/>
        </w:rPr>
        <w:t>; 2020 : 21 </w:t>
      </w:r>
      <w:r w:rsidR="000A2AD8">
        <w:rPr>
          <w:lang w:val="fr-CA"/>
        </w:rPr>
        <w:t>février.</w:t>
      </w:r>
    </w:p>
    <w:p w:rsidR="004D7D95" w:rsidRPr="009471AB" w:rsidRDefault="004D7D95" w:rsidP="00B820BA">
      <w:pPr>
        <w:spacing w:after="720"/>
        <w:jc w:val="both"/>
        <w:rPr>
          <w:lang w:val="fr-CA"/>
        </w:rPr>
      </w:pPr>
      <w:r w:rsidRPr="009471AB">
        <w:rPr>
          <w:lang w:val="fr-CA"/>
        </w:rPr>
        <w:lastRenderedPageBreak/>
        <w:t>Présents</w:t>
      </w:r>
      <w:r w:rsidR="000916C5">
        <w:rPr>
          <w:lang w:val="fr-CA"/>
        </w:rPr>
        <w:t> :</w:t>
      </w:r>
      <w:r w:rsidRPr="009471AB">
        <w:rPr>
          <w:lang w:val="fr-CA"/>
        </w:rPr>
        <w:t> Le juge en chef Wagner et les juges Abella, Moldaver, Karakatsanis, Gascon, Côté, Brown, Rowe et Martin.</w:t>
      </w:r>
    </w:p>
    <w:p w:rsidR="004D7D95" w:rsidRPr="009471AB" w:rsidRDefault="004D7D95" w:rsidP="00B820BA">
      <w:pPr>
        <w:spacing w:after="720"/>
        <w:jc w:val="both"/>
        <w:rPr>
          <w:smallCaps/>
          <w:lang w:val="fr-CA"/>
        </w:rPr>
      </w:pPr>
      <w:r w:rsidRPr="009471AB">
        <w:rPr>
          <w:smallCaps/>
          <w:lang w:val="fr-CA"/>
        </w:rPr>
        <w:t>en appel de la cour d</w:t>
      </w:r>
      <w:r w:rsidR="009F72D8">
        <w:rPr>
          <w:smallCaps/>
          <w:lang w:val="fr-CA"/>
        </w:rPr>
        <w:t>’</w:t>
      </w:r>
      <w:r w:rsidR="005B57DE">
        <w:rPr>
          <w:smallCaps/>
          <w:lang w:val="fr-CA"/>
        </w:rPr>
        <w:t>appel du québec</w:t>
      </w:r>
    </w:p>
    <w:p w:rsidR="00A71E89" w:rsidRPr="00A71E89" w:rsidRDefault="004D7D95" w:rsidP="00A71E89">
      <w:pPr>
        <w:pStyle w:val="SCCNormalDoubleSpacing"/>
        <w:spacing w:after="480"/>
        <w:rPr>
          <w:i/>
          <w:iCs/>
          <w:lang w:val="fr-CA"/>
        </w:rPr>
      </w:pPr>
      <w:r w:rsidRPr="00BB4C92">
        <w:rPr>
          <w:lang w:val="fr-CA"/>
        </w:rPr>
        <w:tab/>
      </w:r>
      <w:r w:rsidR="00A71E89" w:rsidRPr="00A71E89">
        <w:rPr>
          <w:i/>
          <w:lang w:val="fr-CA"/>
        </w:rPr>
        <w:t>Droit international privé</w:t>
      </w:r>
      <w:r w:rsidR="005B57DE">
        <w:rPr>
          <w:rStyle w:val="solexhl"/>
          <w:i/>
          <w:iCs/>
          <w:lang w:val="fr-CA"/>
        </w:rPr>
        <w:t xml:space="preserve"> — </w:t>
      </w:r>
      <w:r w:rsidR="00A71E89" w:rsidRPr="00A71E89">
        <w:rPr>
          <w:rStyle w:val="solexhl"/>
          <w:i/>
          <w:iCs/>
          <w:lang w:val="fr-CA"/>
        </w:rPr>
        <w:t xml:space="preserve">Compétence </w:t>
      </w:r>
      <w:r w:rsidR="00AF384B" w:rsidRPr="00AF384B">
        <w:rPr>
          <w:rStyle w:val="solexhl"/>
          <w:i/>
          <w:iCs/>
          <w:lang w:val="fr-CA"/>
        </w:rPr>
        <w:t>du tribunal québécois</w:t>
      </w:r>
      <w:r w:rsidR="00C70E7E">
        <w:rPr>
          <w:rStyle w:val="solexhl"/>
          <w:i/>
          <w:iCs/>
          <w:lang w:val="fr-CA"/>
        </w:rPr>
        <w:t xml:space="preserve"> </w:t>
      </w:r>
      <w:r w:rsidR="00A71E89" w:rsidRPr="00A71E89">
        <w:rPr>
          <w:rStyle w:val="solexhl"/>
          <w:i/>
          <w:iCs/>
          <w:lang w:val="fr-CA"/>
        </w:rPr>
        <w:t xml:space="preserve">— </w:t>
      </w:r>
      <w:r w:rsidR="00A17B5B">
        <w:rPr>
          <w:rStyle w:val="solexhl"/>
          <w:i/>
          <w:iCs/>
          <w:lang w:val="fr-CA"/>
        </w:rPr>
        <w:t>Demande</w:t>
      </w:r>
      <w:r w:rsidR="00A71E89">
        <w:rPr>
          <w:rStyle w:val="solexhl"/>
          <w:i/>
          <w:iCs/>
          <w:lang w:val="fr-CA"/>
        </w:rPr>
        <w:t xml:space="preserve"> présentée</w:t>
      </w:r>
      <w:r w:rsidR="00A17B5B">
        <w:rPr>
          <w:rStyle w:val="solexhl"/>
          <w:i/>
          <w:iCs/>
          <w:lang w:val="fr-CA"/>
        </w:rPr>
        <w:t xml:space="preserve"> par d</w:t>
      </w:r>
      <w:r w:rsidR="00A71E89" w:rsidRPr="00A71E89">
        <w:rPr>
          <w:rStyle w:val="solexhl"/>
          <w:i/>
          <w:iCs/>
          <w:lang w:val="fr-CA"/>
        </w:rPr>
        <w:t>es Innus devant la Cour supérieure du Québec contre des compagnies mini</w:t>
      </w:r>
      <w:r w:rsidR="00A71E89">
        <w:rPr>
          <w:rStyle w:val="solexhl"/>
          <w:i/>
          <w:iCs/>
          <w:lang w:val="fr-CA"/>
        </w:rPr>
        <w:t>ères exploit</w:t>
      </w:r>
      <w:r w:rsidR="00A17B5B">
        <w:rPr>
          <w:rStyle w:val="solexhl"/>
          <w:i/>
          <w:iCs/>
          <w:lang w:val="fr-CA"/>
        </w:rPr>
        <w:t>a</w:t>
      </w:r>
      <w:r w:rsidR="00A71E89">
        <w:rPr>
          <w:rStyle w:val="solexhl"/>
          <w:i/>
          <w:iCs/>
          <w:lang w:val="fr-CA"/>
        </w:rPr>
        <w:t xml:space="preserve">nt </w:t>
      </w:r>
      <w:r w:rsidR="00A17B5B">
        <w:rPr>
          <w:rStyle w:val="solexhl"/>
          <w:i/>
          <w:iCs/>
          <w:lang w:val="fr-CA"/>
        </w:rPr>
        <w:t>un</w:t>
      </w:r>
      <w:r w:rsidR="00A71E89">
        <w:rPr>
          <w:rStyle w:val="solexhl"/>
          <w:i/>
          <w:iCs/>
          <w:lang w:val="fr-CA"/>
        </w:rPr>
        <w:t xml:space="preserve"> projet </w:t>
      </w:r>
      <w:r w:rsidR="00A17B5B">
        <w:rPr>
          <w:rStyle w:val="solexhl"/>
          <w:i/>
          <w:iCs/>
          <w:lang w:val="fr-CA"/>
        </w:rPr>
        <w:t xml:space="preserve">sur des territoires situés </w:t>
      </w:r>
      <w:r w:rsidR="00A71E89">
        <w:rPr>
          <w:rStyle w:val="solexhl"/>
          <w:i/>
          <w:iCs/>
          <w:lang w:val="fr-CA"/>
        </w:rPr>
        <w:t xml:space="preserve">à la </w:t>
      </w:r>
      <w:r w:rsidR="005B57DE">
        <w:rPr>
          <w:rStyle w:val="solexhl"/>
          <w:i/>
          <w:iCs/>
          <w:lang w:val="fr-CA"/>
        </w:rPr>
        <w:t>fois au Québec et à Terre</w:t>
      </w:r>
      <w:r w:rsidR="005B57DE">
        <w:rPr>
          <w:rStyle w:val="solexhl"/>
          <w:i/>
          <w:iCs/>
          <w:lang w:val="fr-CA"/>
        </w:rPr>
        <w:noBreakHyphen/>
        <w:t>Neuve</w:t>
      </w:r>
      <w:r w:rsidR="005B57DE">
        <w:rPr>
          <w:rStyle w:val="solexhl"/>
          <w:i/>
          <w:iCs/>
          <w:lang w:val="fr-CA"/>
        </w:rPr>
        <w:noBreakHyphen/>
        <w:t>et</w:t>
      </w:r>
      <w:r w:rsidR="005B57DE">
        <w:rPr>
          <w:rStyle w:val="solexhl"/>
          <w:i/>
          <w:iCs/>
          <w:lang w:val="fr-CA"/>
        </w:rPr>
        <w:noBreakHyphen/>
      </w:r>
      <w:r w:rsidR="00A71E89">
        <w:rPr>
          <w:rStyle w:val="solexhl"/>
          <w:i/>
          <w:iCs/>
          <w:lang w:val="fr-CA"/>
        </w:rPr>
        <w:t xml:space="preserve">Labrador </w:t>
      </w:r>
      <w:r w:rsidR="00A71E89" w:rsidRPr="00A71E89">
        <w:rPr>
          <w:rStyle w:val="solexhl"/>
          <w:i/>
          <w:iCs/>
          <w:lang w:val="fr-CA"/>
        </w:rPr>
        <w:t>—</w:t>
      </w:r>
      <w:r w:rsidR="005B57DE">
        <w:rPr>
          <w:rStyle w:val="solexhl"/>
          <w:i/>
          <w:iCs/>
          <w:lang w:val="fr-CA"/>
        </w:rPr>
        <w:t xml:space="preserve"> </w:t>
      </w:r>
      <w:r w:rsidR="00A71E89">
        <w:rPr>
          <w:rStyle w:val="solexhl"/>
          <w:i/>
          <w:iCs/>
          <w:lang w:val="fr-CA"/>
        </w:rPr>
        <w:t xml:space="preserve">Une injonction permanente, des </w:t>
      </w:r>
      <w:r w:rsidR="005B57DE">
        <w:rPr>
          <w:rStyle w:val="solexhl"/>
          <w:i/>
          <w:iCs/>
          <w:lang w:val="fr-CA"/>
        </w:rPr>
        <w:t>dommages</w:t>
      </w:r>
      <w:r w:rsidR="005B57DE">
        <w:rPr>
          <w:rStyle w:val="solexhl"/>
          <w:i/>
          <w:iCs/>
          <w:lang w:val="fr-CA"/>
        </w:rPr>
        <w:noBreakHyphen/>
      </w:r>
      <w:r w:rsidR="00A71E89">
        <w:rPr>
          <w:rStyle w:val="solexhl"/>
          <w:i/>
          <w:iCs/>
          <w:lang w:val="fr-CA"/>
        </w:rPr>
        <w:t xml:space="preserve">intérêts et un jugement déclaratoire attestant que le projet des </w:t>
      </w:r>
      <w:r w:rsidR="008D491D">
        <w:rPr>
          <w:rStyle w:val="solexhl"/>
          <w:i/>
          <w:iCs/>
          <w:lang w:val="fr-CA"/>
        </w:rPr>
        <w:t>compagnies</w:t>
      </w:r>
      <w:r w:rsidR="00A71E89">
        <w:rPr>
          <w:rStyle w:val="solexhl"/>
          <w:i/>
          <w:iCs/>
          <w:lang w:val="fr-CA"/>
        </w:rPr>
        <w:t xml:space="preserve"> minières </w:t>
      </w:r>
      <w:r w:rsidR="00D342A2">
        <w:rPr>
          <w:rStyle w:val="solexhl"/>
          <w:i/>
          <w:iCs/>
          <w:lang w:val="fr-CA"/>
        </w:rPr>
        <w:t>viole un titre ancestral</w:t>
      </w:r>
      <w:r w:rsidR="00A71E89">
        <w:rPr>
          <w:rStyle w:val="solexhl"/>
          <w:i/>
          <w:iCs/>
          <w:lang w:val="fr-CA"/>
        </w:rPr>
        <w:t xml:space="preserve"> et d’autres droits ancestraux </w:t>
      </w:r>
      <w:r w:rsidR="00014F00">
        <w:rPr>
          <w:rStyle w:val="solexhl"/>
          <w:i/>
          <w:iCs/>
          <w:lang w:val="fr-CA"/>
        </w:rPr>
        <w:t xml:space="preserve">sont </w:t>
      </w:r>
      <w:r w:rsidR="00D342A2">
        <w:rPr>
          <w:rStyle w:val="solexhl"/>
          <w:i/>
          <w:iCs/>
          <w:lang w:val="fr-CA"/>
        </w:rPr>
        <w:t>revendiqués par</w:t>
      </w:r>
      <w:r w:rsidR="00A71E89">
        <w:rPr>
          <w:rStyle w:val="solexhl"/>
          <w:i/>
          <w:iCs/>
          <w:lang w:val="fr-CA"/>
        </w:rPr>
        <w:t xml:space="preserve"> les demandeurs </w:t>
      </w:r>
      <w:r w:rsidR="00A71E89" w:rsidRPr="00A71E89">
        <w:rPr>
          <w:rStyle w:val="solexhl"/>
          <w:i/>
          <w:iCs/>
          <w:lang w:val="fr-CA"/>
        </w:rPr>
        <w:t xml:space="preserve">— </w:t>
      </w:r>
      <w:r w:rsidR="00A71E89">
        <w:rPr>
          <w:rStyle w:val="solexhl"/>
          <w:i/>
          <w:iCs/>
          <w:lang w:val="fr-CA"/>
        </w:rPr>
        <w:t>Requêtes en radiation d’allégations concern</w:t>
      </w:r>
      <w:r w:rsidR="005B57DE">
        <w:rPr>
          <w:rStyle w:val="solexhl"/>
          <w:i/>
          <w:iCs/>
          <w:lang w:val="fr-CA"/>
        </w:rPr>
        <w:t>ant le territoire situé à Terre</w:t>
      </w:r>
      <w:r w:rsidR="005B57DE">
        <w:rPr>
          <w:rStyle w:val="solexhl"/>
          <w:i/>
          <w:iCs/>
          <w:lang w:val="fr-CA"/>
        </w:rPr>
        <w:noBreakHyphen/>
        <w:t>Neuve</w:t>
      </w:r>
      <w:r w:rsidR="005B57DE">
        <w:rPr>
          <w:rStyle w:val="solexhl"/>
          <w:i/>
          <w:iCs/>
          <w:lang w:val="fr-CA"/>
        </w:rPr>
        <w:noBreakHyphen/>
        <w:t>et</w:t>
      </w:r>
      <w:r w:rsidR="005B57DE">
        <w:rPr>
          <w:rStyle w:val="solexhl"/>
          <w:i/>
          <w:iCs/>
          <w:lang w:val="fr-CA"/>
        </w:rPr>
        <w:noBreakHyphen/>
      </w:r>
      <w:r w:rsidR="00A71E89">
        <w:rPr>
          <w:rStyle w:val="solexhl"/>
          <w:i/>
          <w:iCs/>
          <w:lang w:val="fr-CA"/>
        </w:rPr>
        <w:t xml:space="preserve">Labrador présentées par </w:t>
      </w:r>
      <w:r w:rsidR="00A17B5B">
        <w:rPr>
          <w:rStyle w:val="solexhl"/>
          <w:i/>
          <w:iCs/>
          <w:lang w:val="fr-CA"/>
        </w:rPr>
        <w:t>la Couronne du chef</w:t>
      </w:r>
      <w:r w:rsidR="00A71E89">
        <w:rPr>
          <w:rStyle w:val="solexhl"/>
          <w:i/>
          <w:iCs/>
          <w:lang w:val="fr-CA"/>
        </w:rPr>
        <w:t xml:space="preserve"> de cette province et par les </w:t>
      </w:r>
      <w:r w:rsidR="008D491D">
        <w:rPr>
          <w:rStyle w:val="solexhl"/>
          <w:i/>
          <w:iCs/>
          <w:lang w:val="fr-CA"/>
        </w:rPr>
        <w:t>compagnies</w:t>
      </w:r>
      <w:r w:rsidR="00A71E89">
        <w:rPr>
          <w:rStyle w:val="solexhl"/>
          <w:i/>
          <w:iCs/>
          <w:lang w:val="fr-CA"/>
        </w:rPr>
        <w:t xml:space="preserve"> minières </w:t>
      </w:r>
      <w:r w:rsidR="00A71E89" w:rsidRPr="00A71E89">
        <w:rPr>
          <w:i/>
          <w:iCs/>
          <w:lang w:val="fr-CA"/>
        </w:rPr>
        <w:t>—</w:t>
      </w:r>
      <w:r w:rsidR="00A71E89" w:rsidRPr="00A71E89">
        <w:rPr>
          <w:rStyle w:val="solexhl"/>
          <w:i/>
          <w:iCs/>
          <w:lang w:val="fr-CA"/>
        </w:rPr>
        <w:t xml:space="preserve"> </w:t>
      </w:r>
      <w:r w:rsidR="005B57DE">
        <w:rPr>
          <w:rStyle w:val="solexhl"/>
          <w:i/>
          <w:iCs/>
          <w:lang w:val="fr-CA"/>
        </w:rPr>
        <w:t xml:space="preserve">Les </w:t>
      </w:r>
      <w:r w:rsidR="007464E4">
        <w:rPr>
          <w:rStyle w:val="solexhl"/>
          <w:i/>
          <w:iCs/>
          <w:lang w:val="fr-CA"/>
        </w:rPr>
        <w:t xml:space="preserve">tribunaux </w:t>
      </w:r>
      <w:r w:rsidR="005B57DE">
        <w:rPr>
          <w:rStyle w:val="solexhl"/>
          <w:i/>
          <w:iCs/>
          <w:lang w:val="fr-CA"/>
        </w:rPr>
        <w:t>du Québec ont</w:t>
      </w:r>
      <w:r w:rsidR="005B57DE">
        <w:rPr>
          <w:rStyle w:val="solexhl"/>
          <w:i/>
          <w:iCs/>
          <w:lang w:val="fr-CA"/>
        </w:rPr>
        <w:noBreakHyphen/>
      </w:r>
      <w:r w:rsidR="00BB255E">
        <w:rPr>
          <w:rStyle w:val="solexhl"/>
          <w:i/>
          <w:iCs/>
          <w:lang w:val="fr-CA"/>
        </w:rPr>
        <w:t>il</w:t>
      </w:r>
      <w:r w:rsidR="00A71E89">
        <w:rPr>
          <w:rStyle w:val="solexhl"/>
          <w:i/>
          <w:iCs/>
          <w:lang w:val="fr-CA"/>
        </w:rPr>
        <w:t xml:space="preserve">s compétence pour statuer sur l’ensemble de la </w:t>
      </w:r>
      <w:r w:rsidR="00A17B5B">
        <w:rPr>
          <w:rStyle w:val="solexhl"/>
          <w:i/>
          <w:iCs/>
          <w:lang w:val="fr-CA"/>
        </w:rPr>
        <w:t>demande </w:t>
      </w:r>
      <w:r w:rsidR="00A71E89">
        <w:rPr>
          <w:rStyle w:val="solexhl"/>
          <w:i/>
          <w:iCs/>
          <w:lang w:val="fr-CA"/>
        </w:rPr>
        <w:t xml:space="preserve">? </w:t>
      </w:r>
      <w:r w:rsidR="00A71E89" w:rsidRPr="00A71E89">
        <w:rPr>
          <w:rStyle w:val="solexhl"/>
          <w:i/>
          <w:iCs/>
          <w:lang w:val="fr-CA"/>
        </w:rPr>
        <w:t xml:space="preserve">— </w:t>
      </w:r>
      <w:r w:rsidR="00A71E89">
        <w:rPr>
          <w:rStyle w:val="solexhl"/>
          <w:i/>
          <w:iCs/>
          <w:lang w:val="fr-CA"/>
        </w:rPr>
        <w:t>Code civil du Québec</w:t>
      </w:r>
      <w:r w:rsidR="00A71E89" w:rsidRPr="00A71E89">
        <w:rPr>
          <w:i/>
          <w:iCs/>
          <w:lang w:val="fr-CA"/>
        </w:rPr>
        <w:t>, art. 3134, 3148</w:t>
      </w:r>
      <w:r w:rsidR="00A71E89" w:rsidRPr="00A71E89">
        <w:rPr>
          <w:rStyle w:val="solexhl"/>
          <w:i/>
          <w:iCs/>
          <w:lang w:val="fr-CA"/>
        </w:rPr>
        <w:t>.</w:t>
      </w:r>
    </w:p>
    <w:p w:rsidR="00066D03" w:rsidRDefault="005B57DE" w:rsidP="002473B6">
      <w:pPr>
        <w:pStyle w:val="SCCNormalDoubleSpacing"/>
        <w:spacing w:after="480"/>
        <w:rPr>
          <w:lang w:val="fr-CA"/>
        </w:rPr>
      </w:pPr>
      <w:r>
        <w:rPr>
          <w:lang w:val="fr-CA"/>
        </w:rPr>
        <w:tab/>
      </w:r>
      <w:r w:rsidR="00066D03">
        <w:rPr>
          <w:lang w:val="fr-CA"/>
        </w:rPr>
        <w:t xml:space="preserve">En 2013, deux Premières Nations </w:t>
      </w:r>
      <w:r w:rsidR="00A17B5B">
        <w:rPr>
          <w:lang w:val="fr-CA"/>
        </w:rPr>
        <w:t>i</w:t>
      </w:r>
      <w:r w:rsidR="00066D03">
        <w:rPr>
          <w:lang w:val="fr-CA"/>
        </w:rPr>
        <w:t>nnu</w:t>
      </w:r>
      <w:r w:rsidR="00A17B5B">
        <w:rPr>
          <w:lang w:val="fr-CA"/>
        </w:rPr>
        <w:t>es</w:t>
      </w:r>
      <w:r w:rsidR="00066D03">
        <w:rPr>
          <w:lang w:val="fr-CA"/>
        </w:rPr>
        <w:t xml:space="preserve"> </w:t>
      </w:r>
      <w:r w:rsidR="00066D03" w:rsidRPr="006D17A9">
        <w:rPr>
          <w:szCs w:val="24"/>
          <w:lang w:val="fr-CA"/>
        </w:rPr>
        <w:t>ainsi qu</w:t>
      </w:r>
      <w:r w:rsidR="00066D03">
        <w:rPr>
          <w:szCs w:val="24"/>
          <w:lang w:val="fr-CA"/>
        </w:rPr>
        <w:t>e</w:t>
      </w:r>
      <w:r w:rsidR="00066D03" w:rsidRPr="006D17A9">
        <w:rPr>
          <w:szCs w:val="24"/>
          <w:lang w:val="fr-CA"/>
        </w:rPr>
        <w:t xml:space="preserve"> plusieurs chefs et conseillers </w:t>
      </w:r>
      <w:r w:rsidR="00A17B5B">
        <w:rPr>
          <w:szCs w:val="24"/>
          <w:lang w:val="fr-CA"/>
        </w:rPr>
        <w:t xml:space="preserve">(« Innus ») </w:t>
      </w:r>
      <w:r w:rsidR="00066D03">
        <w:rPr>
          <w:szCs w:val="24"/>
          <w:lang w:val="fr-CA"/>
        </w:rPr>
        <w:t>intentent</w:t>
      </w:r>
      <w:r w:rsidR="00066D03" w:rsidRPr="006D17A9">
        <w:rPr>
          <w:szCs w:val="24"/>
          <w:lang w:val="fr-CA"/>
        </w:rPr>
        <w:t xml:space="preserve"> une poursuite</w:t>
      </w:r>
      <w:r w:rsidR="00066D03">
        <w:rPr>
          <w:szCs w:val="24"/>
          <w:lang w:val="fr-CA"/>
        </w:rPr>
        <w:t xml:space="preserve"> en Cour supérieure du Québec contre deux </w:t>
      </w:r>
      <w:r w:rsidR="008D491D">
        <w:rPr>
          <w:szCs w:val="24"/>
          <w:lang w:val="fr-CA"/>
        </w:rPr>
        <w:t>compagnies</w:t>
      </w:r>
      <w:r w:rsidR="00066D03">
        <w:rPr>
          <w:szCs w:val="24"/>
          <w:lang w:val="fr-CA"/>
        </w:rPr>
        <w:t xml:space="preserve"> minières responsables d’un </w:t>
      </w:r>
      <w:r w:rsidR="00066D03" w:rsidRPr="006D17A9">
        <w:rPr>
          <w:szCs w:val="24"/>
          <w:lang w:val="fr-CA"/>
        </w:rPr>
        <w:t>mégaprojet compren</w:t>
      </w:r>
      <w:r w:rsidR="00066D03">
        <w:rPr>
          <w:szCs w:val="24"/>
          <w:lang w:val="fr-CA"/>
        </w:rPr>
        <w:t>ant</w:t>
      </w:r>
      <w:r w:rsidR="00066D03" w:rsidRPr="006D17A9">
        <w:rPr>
          <w:szCs w:val="24"/>
          <w:lang w:val="fr-CA"/>
        </w:rPr>
        <w:t xml:space="preserve"> de nombreuses mines à ciel ouvert exploitée</w:t>
      </w:r>
      <w:r w:rsidR="00066D03">
        <w:rPr>
          <w:szCs w:val="24"/>
          <w:lang w:val="fr-CA"/>
        </w:rPr>
        <w:t>s</w:t>
      </w:r>
      <w:r w:rsidR="00066D03" w:rsidRPr="006D17A9">
        <w:rPr>
          <w:szCs w:val="24"/>
          <w:lang w:val="fr-CA"/>
        </w:rPr>
        <w:t xml:space="preserve"> près de Schefferville, au Québec</w:t>
      </w:r>
      <w:r w:rsidR="00066D03">
        <w:rPr>
          <w:szCs w:val="24"/>
          <w:lang w:val="fr-CA"/>
        </w:rPr>
        <w:t xml:space="preserve">, </w:t>
      </w:r>
      <w:r w:rsidR="00066D03" w:rsidRPr="006D17A9">
        <w:rPr>
          <w:szCs w:val="24"/>
          <w:lang w:val="fr-CA"/>
        </w:rPr>
        <w:t>et de Labrador City, à Terre</w:t>
      </w:r>
      <w:r w:rsidR="00066D03" w:rsidRPr="006D17A9">
        <w:rPr>
          <w:szCs w:val="24"/>
          <w:lang w:val="fr-CA"/>
        </w:rPr>
        <w:noBreakHyphen/>
        <w:t>Neuve</w:t>
      </w:r>
      <w:r w:rsidR="00066D03">
        <w:rPr>
          <w:szCs w:val="24"/>
          <w:lang w:val="fr-CA"/>
        </w:rPr>
        <w:noBreakHyphen/>
      </w:r>
      <w:r w:rsidR="00066D03" w:rsidRPr="006D17A9">
        <w:rPr>
          <w:szCs w:val="24"/>
          <w:lang w:val="fr-CA"/>
        </w:rPr>
        <w:t>et</w:t>
      </w:r>
      <w:r w:rsidR="00066D03">
        <w:rPr>
          <w:szCs w:val="24"/>
          <w:lang w:val="fr-CA"/>
        </w:rPr>
        <w:noBreakHyphen/>
      </w:r>
      <w:r w:rsidR="00066D03" w:rsidRPr="006D17A9">
        <w:rPr>
          <w:szCs w:val="24"/>
          <w:lang w:val="fr-CA"/>
        </w:rPr>
        <w:t>Labrador</w:t>
      </w:r>
      <w:r w:rsidR="00066D03">
        <w:rPr>
          <w:szCs w:val="24"/>
          <w:lang w:val="fr-CA"/>
        </w:rPr>
        <w:t>, de même qu’</w:t>
      </w:r>
      <w:r w:rsidR="00066D03" w:rsidRPr="006D17A9">
        <w:rPr>
          <w:szCs w:val="24"/>
          <w:lang w:val="fr-CA"/>
        </w:rPr>
        <w:t>un port, un chemin de fer et des installations industrielles à Sept</w:t>
      </w:r>
      <w:r w:rsidR="00066D03" w:rsidRPr="006D17A9">
        <w:rPr>
          <w:szCs w:val="24"/>
          <w:lang w:val="fr-CA"/>
        </w:rPr>
        <w:noBreakHyphen/>
        <w:t>Îles, au Québec</w:t>
      </w:r>
      <w:r w:rsidR="00066D03">
        <w:rPr>
          <w:szCs w:val="24"/>
          <w:lang w:val="fr-CA"/>
        </w:rPr>
        <w:t>,</w:t>
      </w:r>
      <w:r w:rsidR="00066D03" w:rsidRPr="006D17A9">
        <w:rPr>
          <w:szCs w:val="24"/>
          <w:lang w:val="fr-CA"/>
        </w:rPr>
        <w:t xml:space="preserve"> et </w:t>
      </w:r>
      <w:r w:rsidR="00066D03">
        <w:rPr>
          <w:szCs w:val="24"/>
          <w:lang w:val="fr-CA"/>
        </w:rPr>
        <w:t>des</w:t>
      </w:r>
      <w:r w:rsidR="00066D03" w:rsidRPr="006D17A9">
        <w:rPr>
          <w:szCs w:val="24"/>
          <w:lang w:val="fr-CA"/>
        </w:rPr>
        <w:t xml:space="preserve"> chemin</w:t>
      </w:r>
      <w:r w:rsidR="00066D03">
        <w:rPr>
          <w:szCs w:val="24"/>
          <w:lang w:val="fr-CA"/>
        </w:rPr>
        <w:t>s</w:t>
      </w:r>
      <w:r w:rsidR="00066D03" w:rsidRPr="006D17A9">
        <w:rPr>
          <w:szCs w:val="24"/>
          <w:lang w:val="fr-CA"/>
        </w:rPr>
        <w:t xml:space="preserve"> de fer sillonnant les deux provinces.</w:t>
      </w:r>
    </w:p>
    <w:p w:rsidR="00A71E89" w:rsidRPr="00066D03" w:rsidRDefault="00066D03" w:rsidP="00C70E7E">
      <w:pPr>
        <w:pStyle w:val="SCCNormalDoubleSpacing"/>
        <w:spacing w:after="480"/>
        <w:rPr>
          <w:lang w:val="fr-CA"/>
        </w:rPr>
      </w:pPr>
      <w:r w:rsidRPr="006829B0">
        <w:rPr>
          <w:lang w:val="fr-CA"/>
        </w:rPr>
        <w:tab/>
      </w:r>
      <w:r w:rsidRPr="006D17A9">
        <w:rPr>
          <w:szCs w:val="24"/>
          <w:lang w:val="fr-CA"/>
        </w:rPr>
        <w:t xml:space="preserve">Dans leur </w:t>
      </w:r>
      <w:r>
        <w:rPr>
          <w:szCs w:val="24"/>
          <w:lang w:val="fr-CA"/>
        </w:rPr>
        <w:t>demande introductive d’instance</w:t>
      </w:r>
      <w:r w:rsidRPr="006D17A9">
        <w:rPr>
          <w:szCs w:val="24"/>
          <w:lang w:val="fr-CA"/>
        </w:rPr>
        <w:t xml:space="preserve">, </w:t>
      </w:r>
      <w:r w:rsidRPr="00934170">
        <w:rPr>
          <w:szCs w:val="24"/>
          <w:lang w:val="fr-CA"/>
        </w:rPr>
        <w:t>les Innus</w:t>
      </w:r>
      <w:r w:rsidRPr="006D17A9">
        <w:rPr>
          <w:szCs w:val="24"/>
          <w:lang w:val="fr-CA"/>
        </w:rPr>
        <w:t xml:space="preserve"> revendiquent le droit d’utiliser et d’occuper de façon exclusive les terres visées par le mégaprojet</w:t>
      </w:r>
      <w:r>
        <w:rPr>
          <w:szCs w:val="24"/>
          <w:lang w:val="fr-CA"/>
        </w:rPr>
        <w:t>.</w:t>
      </w:r>
      <w:r w:rsidR="00A71E89" w:rsidRPr="00066D03">
        <w:rPr>
          <w:lang w:val="fr-CA"/>
        </w:rPr>
        <w:t xml:space="preserve"> </w:t>
      </w:r>
      <w:r>
        <w:rPr>
          <w:lang w:val="fr-CA"/>
        </w:rPr>
        <w:t xml:space="preserve">Ils </w:t>
      </w:r>
      <w:r w:rsidRPr="006D17A9">
        <w:rPr>
          <w:szCs w:val="24"/>
          <w:lang w:val="fr-CA"/>
        </w:rPr>
        <w:t xml:space="preserve">affirment occuper depuis des temps immémoriaux un territoire traditionnel </w:t>
      </w:r>
      <w:r w:rsidRPr="006D17A9">
        <w:rPr>
          <w:szCs w:val="24"/>
          <w:lang w:val="fr-CA"/>
        </w:rPr>
        <w:lastRenderedPageBreak/>
        <w:t>chevauch</w:t>
      </w:r>
      <w:r w:rsidR="00A17B5B">
        <w:rPr>
          <w:szCs w:val="24"/>
          <w:lang w:val="fr-CA"/>
        </w:rPr>
        <w:t>ant</w:t>
      </w:r>
      <w:r w:rsidRPr="006D17A9">
        <w:rPr>
          <w:szCs w:val="24"/>
          <w:lang w:val="fr-CA"/>
        </w:rPr>
        <w:t xml:space="preserve"> la frontière </w:t>
      </w:r>
      <w:r>
        <w:rPr>
          <w:szCs w:val="24"/>
          <w:lang w:val="fr-CA"/>
        </w:rPr>
        <w:t>qui sépare</w:t>
      </w:r>
      <w:r w:rsidRPr="006D17A9">
        <w:rPr>
          <w:szCs w:val="24"/>
          <w:lang w:val="fr-CA"/>
        </w:rPr>
        <w:t xml:space="preserve"> les provinces du Québec et de Terre</w:t>
      </w:r>
      <w:r w:rsidRPr="006D17A9">
        <w:rPr>
          <w:szCs w:val="24"/>
          <w:lang w:val="fr-CA"/>
        </w:rPr>
        <w:noBreakHyphen/>
        <w:t>Neuve</w:t>
      </w:r>
      <w:r w:rsidRPr="006D17A9">
        <w:rPr>
          <w:szCs w:val="24"/>
          <w:lang w:val="fr-CA"/>
        </w:rPr>
        <w:noBreakHyphen/>
        <w:t>et</w:t>
      </w:r>
      <w:r w:rsidRPr="006D17A9">
        <w:rPr>
          <w:szCs w:val="24"/>
          <w:lang w:val="fr-CA"/>
        </w:rPr>
        <w:noBreakHyphen/>
        <w:t>Labrador.</w:t>
      </w:r>
      <w:r>
        <w:rPr>
          <w:szCs w:val="24"/>
          <w:lang w:val="fr-CA"/>
        </w:rPr>
        <w:t xml:space="preserve"> Ils </w:t>
      </w:r>
      <w:r w:rsidRPr="006D17A9">
        <w:rPr>
          <w:szCs w:val="24"/>
          <w:lang w:val="fr-CA"/>
        </w:rPr>
        <w:t>soutiennent que le mégaprojet a été entrepris sans leur consentement, et allèguent une longue liste d’atteintes à l’environnement qui nuisent à leurs activités, les empêchant de jouir de leur territoire.</w:t>
      </w:r>
      <w:r w:rsidR="00D342A2">
        <w:rPr>
          <w:szCs w:val="24"/>
          <w:lang w:val="fr-CA"/>
        </w:rPr>
        <w:t xml:space="preserve"> </w:t>
      </w:r>
      <w:r w:rsidR="00D342A2" w:rsidRPr="006D17A9">
        <w:rPr>
          <w:szCs w:val="24"/>
          <w:lang w:val="fr-CA"/>
        </w:rPr>
        <w:t>À titre de réparations pour ces préjudices allégués, les Innus sollicitent notamment</w:t>
      </w:r>
      <w:r w:rsidR="00D342A2">
        <w:rPr>
          <w:szCs w:val="24"/>
          <w:lang w:val="fr-CA"/>
        </w:rPr>
        <w:t xml:space="preserve"> </w:t>
      </w:r>
      <w:r w:rsidR="00D342A2" w:rsidRPr="00E44EC7">
        <w:rPr>
          <w:lang w:val="fr-CA"/>
        </w:rPr>
        <w:t xml:space="preserve">une injonction permanente </w:t>
      </w:r>
      <w:r w:rsidR="008D491D">
        <w:rPr>
          <w:lang w:val="fr-CA"/>
        </w:rPr>
        <w:t>contre les compagnies</w:t>
      </w:r>
      <w:r w:rsidR="00D342A2" w:rsidRPr="00E44EC7">
        <w:rPr>
          <w:lang w:val="fr-CA"/>
        </w:rPr>
        <w:t xml:space="preserve"> minières leur ordonnant de cesser tous les travaux liés au mégaprojet</w:t>
      </w:r>
      <w:r w:rsidR="00D342A2">
        <w:rPr>
          <w:lang w:val="fr-CA"/>
        </w:rPr>
        <w:t xml:space="preserve">, </w:t>
      </w:r>
      <w:r w:rsidR="00D342A2" w:rsidRPr="00E44EC7">
        <w:rPr>
          <w:lang w:val="fr-CA"/>
        </w:rPr>
        <w:t>des dommages</w:t>
      </w:r>
      <w:r w:rsidR="00D342A2" w:rsidRPr="00E44EC7">
        <w:rPr>
          <w:lang w:val="fr-CA"/>
        </w:rPr>
        <w:noBreakHyphen/>
        <w:t>intérêts de 900 millions de dollars</w:t>
      </w:r>
      <w:r w:rsidR="00D342A2">
        <w:rPr>
          <w:lang w:val="fr-CA"/>
        </w:rPr>
        <w:t xml:space="preserve"> et </w:t>
      </w:r>
      <w:r w:rsidR="00D342A2" w:rsidRPr="00E44EC7">
        <w:rPr>
          <w:lang w:val="fr-CA"/>
        </w:rPr>
        <w:t xml:space="preserve">un jugement déclaratoire portant que le mégaprojet </w:t>
      </w:r>
      <w:r w:rsidR="005B57DE">
        <w:rPr>
          <w:lang w:val="fr-CA"/>
        </w:rPr>
        <w:t>c</w:t>
      </w:r>
      <w:r w:rsidR="00D342A2" w:rsidRPr="00E44EC7">
        <w:rPr>
          <w:lang w:val="fr-CA"/>
        </w:rPr>
        <w:t>onstitue une violation de leur titre ancestral et d’autres droits ancestraux</w:t>
      </w:r>
      <w:r w:rsidR="00D342A2">
        <w:rPr>
          <w:lang w:val="fr-CA"/>
        </w:rPr>
        <w:t xml:space="preserve"> </w:t>
      </w:r>
      <w:r w:rsidR="00D342A2" w:rsidRPr="006D17A9">
        <w:rPr>
          <w:szCs w:val="24"/>
          <w:lang w:val="fr-CA"/>
        </w:rPr>
        <w:t xml:space="preserve">reconnus et confirmés par l’art. 35 de la </w:t>
      </w:r>
      <w:r w:rsidR="00D342A2" w:rsidRPr="006D17A9">
        <w:rPr>
          <w:i/>
          <w:szCs w:val="24"/>
          <w:lang w:val="fr-CA"/>
        </w:rPr>
        <w:t xml:space="preserve">Loi </w:t>
      </w:r>
      <w:r w:rsidR="00D342A2" w:rsidRPr="00C70E7E">
        <w:rPr>
          <w:rStyle w:val="solexhl"/>
          <w:i/>
          <w:iCs/>
          <w:lang w:val="fr-CA"/>
        </w:rPr>
        <w:t>constitutionnelle</w:t>
      </w:r>
      <w:r w:rsidR="00D342A2" w:rsidRPr="006D17A9">
        <w:rPr>
          <w:i/>
          <w:szCs w:val="24"/>
          <w:lang w:val="fr-CA"/>
        </w:rPr>
        <w:t xml:space="preserve"> de 1982</w:t>
      </w:r>
      <w:r w:rsidR="00D342A2">
        <w:rPr>
          <w:lang w:val="fr-CA"/>
        </w:rPr>
        <w:t xml:space="preserve">. </w:t>
      </w:r>
      <w:r w:rsidR="00D342A2">
        <w:rPr>
          <w:szCs w:val="24"/>
          <w:lang w:val="fr-CA"/>
        </w:rPr>
        <w:t>L</w:t>
      </w:r>
      <w:r w:rsidR="008D491D">
        <w:rPr>
          <w:szCs w:val="24"/>
          <w:lang w:val="fr-CA"/>
        </w:rPr>
        <w:t>es compagnies</w:t>
      </w:r>
      <w:r w:rsidR="00D342A2" w:rsidRPr="006D17A9">
        <w:rPr>
          <w:szCs w:val="24"/>
          <w:lang w:val="fr-CA"/>
        </w:rPr>
        <w:t xml:space="preserve"> minières </w:t>
      </w:r>
      <w:r w:rsidR="00D342A2">
        <w:rPr>
          <w:szCs w:val="24"/>
          <w:lang w:val="fr-CA"/>
        </w:rPr>
        <w:t>e</w:t>
      </w:r>
      <w:r w:rsidR="005B57DE">
        <w:rPr>
          <w:szCs w:val="24"/>
          <w:lang w:val="fr-CA"/>
        </w:rPr>
        <w:t>t le procureur général de Terre</w:t>
      </w:r>
      <w:r w:rsidR="005B57DE">
        <w:rPr>
          <w:szCs w:val="24"/>
          <w:lang w:val="fr-CA"/>
        </w:rPr>
        <w:noBreakHyphen/>
        <w:t>Neuve</w:t>
      </w:r>
      <w:r w:rsidR="005B57DE">
        <w:rPr>
          <w:szCs w:val="24"/>
          <w:lang w:val="fr-CA"/>
        </w:rPr>
        <w:noBreakHyphen/>
        <w:t>et</w:t>
      </w:r>
      <w:r w:rsidR="005B57DE">
        <w:rPr>
          <w:szCs w:val="24"/>
          <w:lang w:val="fr-CA"/>
        </w:rPr>
        <w:noBreakHyphen/>
      </w:r>
      <w:r w:rsidR="00D342A2">
        <w:rPr>
          <w:szCs w:val="24"/>
          <w:lang w:val="fr-CA"/>
        </w:rPr>
        <w:t>Labrador déposent</w:t>
      </w:r>
      <w:r w:rsidR="00D342A2" w:rsidRPr="006D17A9">
        <w:rPr>
          <w:szCs w:val="24"/>
          <w:lang w:val="fr-CA"/>
        </w:rPr>
        <w:t xml:space="preserve"> </w:t>
      </w:r>
      <w:r w:rsidR="00D342A2">
        <w:rPr>
          <w:szCs w:val="24"/>
          <w:lang w:val="fr-CA"/>
        </w:rPr>
        <w:t xml:space="preserve">chacun </w:t>
      </w:r>
      <w:r w:rsidR="00D342A2" w:rsidRPr="006D17A9">
        <w:rPr>
          <w:szCs w:val="24"/>
          <w:lang w:val="fr-CA"/>
        </w:rPr>
        <w:t xml:space="preserve">une requête en radiation </w:t>
      </w:r>
      <w:r w:rsidR="00D342A2">
        <w:rPr>
          <w:szCs w:val="24"/>
          <w:lang w:val="fr-CA"/>
        </w:rPr>
        <w:t xml:space="preserve">de </w:t>
      </w:r>
      <w:r w:rsidR="00D342A2" w:rsidRPr="006D17A9">
        <w:rPr>
          <w:szCs w:val="24"/>
          <w:lang w:val="fr-CA"/>
        </w:rPr>
        <w:t xml:space="preserve">certaines portions de la demande </w:t>
      </w:r>
      <w:r w:rsidR="00783400">
        <w:rPr>
          <w:szCs w:val="24"/>
          <w:lang w:val="fr-CA"/>
        </w:rPr>
        <w:t xml:space="preserve">des Innus </w:t>
      </w:r>
      <w:r w:rsidR="00D342A2">
        <w:rPr>
          <w:szCs w:val="24"/>
          <w:lang w:val="fr-CA"/>
        </w:rPr>
        <w:t xml:space="preserve">qui, selon eux, </w:t>
      </w:r>
      <w:r w:rsidR="00D342A2" w:rsidRPr="006D17A9">
        <w:rPr>
          <w:szCs w:val="24"/>
          <w:lang w:val="fr-CA"/>
        </w:rPr>
        <w:t>concernent des droits réels sur des terres situées à Terre</w:t>
      </w:r>
      <w:r w:rsidR="00D342A2" w:rsidRPr="006D17A9">
        <w:rPr>
          <w:szCs w:val="24"/>
          <w:lang w:val="fr-CA"/>
        </w:rPr>
        <w:noBreakHyphen/>
        <w:t>Neuve</w:t>
      </w:r>
      <w:r w:rsidR="00D342A2" w:rsidRPr="006D17A9">
        <w:rPr>
          <w:szCs w:val="24"/>
          <w:lang w:val="fr-CA"/>
        </w:rPr>
        <w:noBreakHyphen/>
        <w:t>et</w:t>
      </w:r>
      <w:r w:rsidR="00D342A2" w:rsidRPr="006D17A9">
        <w:rPr>
          <w:szCs w:val="24"/>
          <w:lang w:val="fr-CA"/>
        </w:rPr>
        <w:noBreakHyphen/>
        <w:t>Labrador et</w:t>
      </w:r>
      <w:r w:rsidR="00D342A2">
        <w:rPr>
          <w:szCs w:val="24"/>
          <w:lang w:val="fr-CA"/>
        </w:rPr>
        <w:t xml:space="preserve"> qui</w:t>
      </w:r>
      <w:r w:rsidR="00D342A2" w:rsidRPr="006D17A9">
        <w:rPr>
          <w:szCs w:val="24"/>
          <w:lang w:val="fr-CA"/>
        </w:rPr>
        <w:t xml:space="preserve">, </w:t>
      </w:r>
      <w:r w:rsidR="00D342A2">
        <w:rPr>
          <w:szCs w:val="24"/>
          <w:lang w:val="fr-CA"/>
        </w:rPr>
        <w:t xml:space="preserve">en </w:t>
      </w:r>
      <w:r w:rsidR="00D342A2" w:rsidRPr="006D17A9">
        <w:rPr>
          <w:szCs w:val="24"/>
          <w:lang w:val="fr-CA"/>
        </w:rPr>
        <w:t>conséquen</w:t>
      </w:r>
      <w:r w:rsidR="00D342A2">
        <w:rPr>
          <w:szCs w:val="24"/>
          <w:lang w:val="fr-CA"/>
        </w:rPr>
        <w:t>ce</w:t>
      </w:r>
      <w:r w:rsidR="00D342A2" w:rsidRPr="006D17A9">
        <w:rPr>
          <w:szCs w:val="24"/>
          <w:lang w:val="fr-CA"/>
        </w:rPr>
        <w:t>, relèvent de la compétence des tribunaux de cette province.</w:t>
      </w:r>
    </w:p>
    <w:p w:rsidR="00A71E89" w:rsidRPr="00D342A2" w:rsidRDefault="005B57DE" w:rsidP="00C70E7E">
      <w:pPr>
        <w:pStyle w:val="SCCNormalDoubleSpacing"/>
        <w:spacing w:after="480"/>
        <w:rPr>
          <w:lang w:val="fr-CA"/>
        </w:rPr>
      </w:pPr>
      <w:r>
        <w:rPr>
          <w:lang w:val="fr-CA"/>
        </w:rPr>
        <w:tab/>
      </w:r>
      <w:r w:rsidR="00D342A2">
        <w:rPr>
          <w:lang w:val="fr-CA"/>
        </w:rPr>
        <w:t>La Cour supérieure du Québec</w:t>
      </w:r>
      <w:r w:rsidR="00D342A2" w:rsidRPr="00D342A2">
        <w:rPr>
          <w:lang w:val="fr-CA"/>
        </w:rPr>
        <w:t xml:space="preserve"> </w:t>
      </w:r>
      <w:r w:rsidR="00D342A2">
        <w:rPr>
          <w:szCs w:val="24"/>
          <w:lang w:val="fr-CA"/>
        </w:rPr>
        <w:t>rejette</w:t>
      </w:r>
      <w:r w:rsidR="00D342A2" w:rsidRPr="006D17A9">
        <w:rPr>
          <w:szCs w:val="24"/>
          <w:lang w:val="fr-CA"/>
        </w:rPr>
        <w:t xml:space="preserve"> les requêtes en radiation</w:t>
      </w:r>
      <w:r w:rsidR="00A71E89" w:rsidRPr="00D342A2">
        <w:rPr>
          <w:lang w:val="fr-CA"/>
        </w:rPr>
        <w:t xml:space="preserve">. </w:t>
      </w:r>
      <w:r w:rsidR="00D342A2">
        <w:rPr>
          <w:lang w:val="fr-CA"/>
        </w:rPr>
        <w:t>Comme elle refus</w:t>
      </w:r>
      <w:r w:rsidR="00A17B5B">
        <w:rPr>
          <w:lang w:val="fr-CA"/>
        </w:rPr>
        <w:t>e</w:t>
      </w:r>
      <w:r w:rsidR="00D342A2">
        <w:rPr>
          <w:lang w:val="fr-CA"/>
        </w:rPr>
        <w:t xml:space="preserve"> de </w:t>
      </w:r>
      <w:r w:rsidR="00D342A2" w:rsidRPr="00C70E7E">
        <w:rPr>
          <w:szCs w:val="24"/>
          <w:lang w:val="fr-CA"/>
        </w:rPr>
        <w:t>qualif</w:t>
      </w:r>
      <w:r w:rsidRPr="00C70E7E">
        <w:rPr>
          <w:szCs w:val="24"/>
          <w:lang w:val="fr-CA"/>
        </w:rPr>
        <w:t>i</w:t>
      </w:r>
      <w:r w:rsidR="00D342A2" w:rsidRPr="00C70E7E">
        <w:rPr>
          <w:szCs w:val="24"/>
          <w:lang w:val="fr-CA"/>
        </w:rPr>
        <w:t>er</w:t>
      </w:r>
      <w:r w:rsidR="00D342A2">
        <w:rPr>
          <w:lang w:val="fr-CA"/>
        </w:rPr>
        <w:t xml:space="preserve"> l</w:t>
      </w:r>
      <w:r w:rsidR="00783400">
        <w:rPr>
          <w:lang w:val="fr-CA"/>
        </w:rPr>
        <w:t>’action de réelle, elle</w:t>
      </w:r>
      <w:r w:rsidR="00D342A2">
        <w:rPr>
          <w:lang w:val="fr-CA"/>
        </w:rPr>
        <w:t xml:space="preserve"> conclu</w:t>
      </w:r>
      <w:r w:rsidR="00783400">
        <w:rPr>
          <w:lang w:val="fr-CA"/>
        </w:rPr>
        <w:t>t</w:t>
      </w:r>
      <w:r w:rsidR="00D342A2">
        <w:rPr>
          <w:lang w:val="fr-CA"/>
        </w:rPr>
        <w:t xml:space="preserve"> que </w:t>
      </w:r>
      <w:r w:rsidR="00D342A2">
        <w:rPr>
          <w:szCs w:val="24"/>
          <w:lang w:val="fr-CA"/>
        </w:rPr>
        <w:t>les tribunaux du Québec o</w:t>
      </w:r>
      <w:r w:rsidR="00D342A2" w:rsidRPr="006D17A9">
        <w:rPr>
          <w:szCs w:val="24"/>
          <w:lang w:val="fr-CA"/>
        </w:rPr>
        <w:t>nt compétence pour instruire l’affaire</w:t>
      </w:r>
      <w:r w:rsidR="00D342A2">
        <w:rPr>
          <w:szCs w:val="24"/>
          <w:lang w:val="fr-CA"/>
        </w:rPr>
        <w:t xml:space="preserve">. La Cour d’appel du Québec rejette l’appel de </w:t>
      </w:r>
      <w:r>
        <w:rPr>
          <w:szCs w:val="24"/>
          <w:lang w:val="fr-CA"/>
        </w:rPr>
        <w:t>Terre</w:t>
      </w:r>
      <w:r>
        <w:rPr>
          <w:szCs w:val="24"/>
          <w:lang w:val="fr-CA"/>
        </w:rPr>
        <w:noBreakHyphen/>
        <w:t>Neuve</w:t>
      </w:r>
      <w:r>
        <w:rPr>
          <w:szCs w:val="24"/>
          <w:lang w:val="fr-CA"/>
        </w:rPr>
        <w:noBreakHyphen/>
        <w:t>et</w:t>
      </w:r>
      <w:r>
        <w:rPr>
          <w:szCs w:val="24"/>
          <w:lang w:val="fr-CA"/>
        </w:rPr>
        <w:noBreakHyphen/>
      </w:r>
      <w:r w:rsidR="00D342A2">
        <w:rPr>
          <w:szCs w:val="24"/>
          <w:lang w:val="fr-CA"/>
        </w:rPr>
        <w:t>Labrador.</w:t>
      </w:r>
    </w:p>
    <w:p w:rsidR="00A71E89" w:rsidRPr="000D51EF" w:rsidRDefault="00A71E89" w:rsidP="00A71E89">
      <w:pPr>
        <w:pStyle w:val="SCCNormalDoubleSpacing"/>
        <w:spacing w:after="480"/>
        <w:rPr>
          <w:highlight w:val="yellow"/>
          <w:lang w:val="fr-CA"/>
        </w:rPr>
      </w:pPr>
      <w:r w:rsidRPr="006829B0">
        <w:rPr>
          <w:lang w:val="fr-CA"/>
        </w:rPr>
        <w:tab/>
      </w:r>
      <w:r w:rsidR="00D342A2" w:rsidRPr="000D51EF">
        <w:rPr>
          <w:i/>
          <w:lang w:val="fr-CA"/>
        </w:rPr>
        <w:t>Arrêt</w:t>
      </w:r>
      <w:r w:rsidRPr="000D51EF">
        <w:rPr>
          <w:rStyle w:val="QuoteChar"/>
          <w:lang w:val="fr-CA"/>
        </w:rPr>
        <w:t xml:space="preserve"> </w:t>
      </w:r>
      <w:r w:rsidRPr="000D51EF">
        <w:rPr>
          <w:rStyle w:val="QuoteChar"/>
          <w:i w:val="0"/>
          <w:lang w:val="fr-CA"/>
        </w:rPr>
        <w:t>(</w:t>
      </w:r>
      <w:r w:rsidR="000D51EF" w:rsidRPr="000D51EF">
        <w:rPr>
          <w:rStyle w:val="QuoteChar"/>
          <w:i w:val="0"/>
          <w:lang w:val="fr-CA"/>
        </w:rPr>
        <w:t xml:space="preserve">les juges </w:t>
      </w:r>
      <w:r w:rsidRPr="000D51EF">
        <w:rPr>
          <w:rStyle w:val="QuoteChar"/>
          <w:i w:val="0"/>
          <w:lang w:val="fr-CA"/>
        </w:rPr>
        <w:t xml:space="preserve">Moldaver, Côté, Brown </w:t>
      </w:r>
      <w:r w:rsidR="000D51EF" w:rsidRPr="000D51EF">
        <w:rPr>
          <w:rStyle w:val="QuoteChar"/>
          <w:i w:val="0"/>
          <w:lang w:val="fr-CA"/>
        </w:rPr>
        <w:t>et</w:t>
      </w:r>
      <w:r w:rsidRPr="000D51EF">
        <w:rPr>
          <w:rStyle w:val="QuoteChar"/>
          <w:i w:val="0"/>
          <w:lang w:val="fr-CA"/>
        </w:rPr>
        <w:t xml:space="preserve"> Rowe </w:t>
      </w:r>
      <w:r w:rsidR="000D51EF" w:rsidRPr="000D51EF">
        <w:rPr>
          <w:rStyle w:val="QuoteChar"/>
          <w:i w:val="0"/>
          <w:lang w:val="fr-CA"/>
        </w:rPr>
        <w:t>sont dissidents</w:t>
      </w:r>
      <w:r w:rsidRPr="000D51EF">
        <w:rPr>
          <w:rStyle w:val="QuoteChar"/>
          <w:i w:val="0"/>
          <w:lang w:val="fr-CA"/>
        </w:rPr>
        <w:t>)</w:t>
      </w:r>
      <w:r w:rsidR="000D51EF" w:rsidRPr="000D51EF">
        <w:rPr>
          <w:rStyle w:val="QuoteChar"/>
          <w:i w:val="0"/>
          <w:lang w:val="fr-CA"/>
        </w:rPr>
        <w:t> </w:t>
      </w:r>
      <w:r w:rsidRPr="000D51EF">
        <w:rPr>
          <w:rStyle w:val="QuoteChar"/>
          <w:i w:val="0"/>
          <w:lang w:val="fr-CA"/>
        </w:rPr>
        <w:t>:</w:t>
      </w:r>
      <w:r w:rsidRPr="000D51EF">
        <w:rPr>
          <w:lang w:val="fr-CA"/>
        </w:rPr>
        <w:t xml:space="preserve"> </w:t>
      </w:r>
      <w:r w:rsidR="00FA30EB">
        <w:rPr>
          <w:lang w:val="fr-CA"/>
        </w:rPr>
        <w:t>L</w:t>
      </w:r>
      <w:r w:rsidR="00A17B5B">
        <w:rPr>
          <w:lang w:val="fr-CA"/>
        </w:rPr>
        <w:t xml:space="preserve">e pourvoi </w:t>
      </w:r>
      <w:r w:rsidR="000D51EF" w:rsidRPr="000D51EF">
        <w:rPr>
          <w:lang w:val="fr-CA"/>
        </w:rPr>
        <w:t>est rejeté</w:t>
      </w:r>
      <w:r w:rsidRPr="000D51EF">
        <w:rPr>
          <w:lang w:val="fr-CA"/>
        </w:rPr>
        <w:t>.</w:t>
      </w:r>
    </w:p>
    <w:p w:rsidR="000D51EF" w:rsidRPr="0046574C" w:rsidRDefault="00A71E89" w:rsidP="00A71E89">
      <w:pPr>
        <w:pStyle w:val="SCCNormalDoubleSpacing"/>
        <w:spacing w:after="480"/>
        <w:rPr>
          <w:i/>
          <w:lang w:val="fr-CA"/>
        </w:rPr>
      </w:pPr>
      <w:r w:rsidRPr="000D51EF">
        <w:rPr>
          <w:lang w:val="fr-CA"/>
        </w:rPr>
        <w:tab/>
      </w:r>
      <w:r w:rsidR="000D51EF" w:rsidRPr="000D51EF">
        <w:rPr>
          <w:i/>
          <w:lang w:val="fr-CA"/>
        </w:rPr>
        <w:t xml:space="preserve">Le </w:t>
      </w:r>
      <w:r w:rsidR="000D51EF" w:rsidRPr="00A17B5B">
        <w:rPr>
          <w:lang w:val="fr-CA"/>
        </w:rPr>
        <w:t>juge en chef</w:t>
      </w:r>
      <w:r w:rsidRPr="000D51EF">
        <w:rPr>
          <w:lang w:val="fr-CA"/>
        </w:rPr>
        <w:t xml:space="preserve"> </w:t>
      </w:r>
      <w:r w:rsidR="00C70E7E" w:rsidRPr="008731A5">
        <w:rPr>
          <w:lang w:val="fr-CA"/>
        </w:rPr>
        <w:t xml:space="preserve">Wagner </w:t>
      </w:r>
      <w:r w:rsidR="000D51EF" w:rsidRPr="000D51EF">
        <w:rPr>
          <w:lang w:val="fr-CA"/>
        </w:rPr>
        <w:t>et les juges</w:t>
      </w:r>
      <w:r w:rsidRPr="000D51EF">
        <w:rPr>
          <w:lang w:val="fr-CA"/>
        </w:rPr>
        <w:t xml:space="preserve"> </w:t>
      </w:r>
      <w:r w:rsidRPr="008731A5">
        <w:rPr>
          <w:lang w:val="fr-CA"/>
        </w:rPr>
        <w:t>Abella, Karakatsanis,</w:t>
      </w:r>
      <w:r w:rsidRPr="000D51EF">
        <w:rPr>
          <w:lang w:val="fr-CA"/>
        </w:rPr>
        <w:t xml:space="preserve"> Gascon </w:t>
      </w:r>
      <w:r w:rsidR="000D51EF">
        <w:rPr>
          <w:lang w:val="fr-CA"/>
        </w:rPr>
        <w:t>et Martin </w:t>
      </w:r>
      <w:r w:rsidR="005B57DE">
        <w:rPr>
          <w:lang w:val="fr-CA"/>
        </w:rPr>
        <w:t xml:space="preserve">: </w:t>
      </w:r>
      <w:r w:rsidR="000D51EF">
        <w:rPr>
          <w:szCs w:val="24"/>
          <w:lang w:val="fr-CA"/>
        </w:rPr>
        <w:t>L</w:t>
      </w:r>
      <w:r w:rsidR="000D51EF" w:rsidRPr="006D17A9">
        <w:rPr>
          <w:szCs w:val="24"/>
          <w:lang w:val="fr-CA"/>
        </w:rPr>
        <w:t xml:space="preserve">a Cour supérieure du Québec a compétence pour connaître </w:t>
      </w:r>
      <w:r w:rsidR="000D51EF">
        <w:rPr>
          <w:szCs w:val="24"/>
          <w:lang w:val="fr-CA"/>
        </w:rPr>
        <w:t xml:space="preserve">de l’ensemble </w:t>
      </w:r>
      <w:r w:rsidR="000D51EF" w:rsidRPr="006D17A9">
        <w:rPr>
          <w:szCs w:val="24"/>
          <w:lang w:val="fr-CA"/>
        </w:rPr>
        <w:t xml:space="preserve">de </w:t>
      </w:r>
      <w:r w:rsidR="000D51EF">
        <w:rPr>
          <w:szCs w:val="24"/>
          <w:lang w:val="fr-CA"/>
        </w:rPr>
        <w:t xml:space="preserve">la demande. L’action est qualifiée correctement comme une action mixte non classique </w:t>
      </w:r>
      <w:r w:rsidR="000D51EF">
        <w:rPr>
          <w:szCs w:val="24"/>
          <w:lang w:val="fr-CA"/>
        </w:rPr>
        <w:lastRenderedPageBreak/>
        <w:t xml:space="preserve">qui suppose </w:t>
      </w:r>
      <w:r w:rsidR="000D51EF" w:rsidRPr="006D17A9">
        <w:rPr>
          <w:szCs w:val="24"/>
          <w:lang w:val="fr-CA"/>
        </w:rPr>
        <w:t>la reconnaissance d</w:t>
      </w:r>
      <w:r w:rsidR="000D51EF">
        <w:rPr>
          <w:szCs w:val="24"/>
          <w:lang w:val="fr-CA"/>
        </w:rPr>
        <w:t>e</w:t>
      </w:r>
      <w:r w:rsidR="000D51EF" w:rsidRPr="006D17A9">
        <w:rPr>
          <w:szCs w:val="24"/>
          <w:lang w:val="fr-CA"/>
        </w:rPr>
        <w:t xml:space="preserve"> droit</w:t>
      </w:r>
      <w:r w:rsidR="000D51EF">
        <w:rPr>
          <w:szCs w:val="24"/>
          <w:lang w:val="fr-CA"/>
        </w:rPr>
        <w:t>s</w:t>
      </w:r>
      <w:r w:rsidR="000D51EF" w:rsidRPr="006D17A9">
        <w:rPr>
          <w:szCs w:val="24"/>
          <w:lang w:val="fr-CA"/>
        </w:rPr>
        <w:t xml:space="preserve"> </w:t>
      </w:r>
      <w:r w:rsidR="000D51EF" w:rsidRPr="006D17A9">
        <w:rPr>
          <w:i/>
          <w:iCs/>
          <w:szCs w:val="24"/>
          <w:lang w:val="fr-CA"/>
        </w:rPr>
        <w:t>sui generis</w:t>
      </w:r>
      <w:r w:rsidR="000D51EF" w:rsidRPr="006D17A9">
        <w:rPr>
          <w:szCs w:val="24"/>
          <w:lang w:val="fr-CA"/>
        </w:rPr>
        <w:t xml:space="preserve"> et </w:t>
      </w:r>
      <w:r w:rsidR="000D51EF" w:rsidRPr="00202DCB">
        <w:rPr>
          <w:szCs w:val="24"/>
          <w:lang w:val="fr-CA"/>
        </w:rPr>
        <w:t>l’exécution d</w:t>
      </w:r>
      <w:r w:rsidR="000D51EF" w:rsidRPr="006D17A9">
        <w:rPr>
          <w:szCs w:val="24"/>
          <w:lang w:val="fr-CA"/>
        </w:rPr>
        <w:t>’obligations.</w:t>
      </w:r>
      <w:r w:rsidR="0046574C">
        <w:rPr>
          <w:szCs w:val="24"/>
          <w:lang w:val="fr-CA"/>
        </w:rPr>
        <w:t xml:space="preserve"> </w:t>
      </w:r>
      <w:r w:rsidR="008D491D">
        <w:rPr>
          <w:szCs w:val="24"/>
          <w:lang w:val="fr-CA"/>
        </w:rPr>
        <w:t>Comme les compagnies</w:t>
      </w:r>
      <w:r w:rsidR="0046574C" w:rsidRPr="006D17A9">
        <w:rPr>
          <w:szCs w:val="24"/>
          <w:lang w:val="fr-CA"/>
        </w:rPr>
        <w:t xml:space="preserve"> minières ont toutes les deux leur siège à Montréal,</w:t>
      </w:r>
      <w:r w:rsidR="0046574C">
        <w:rPr>
          <w:szCs w:val="24"/>
          <w:lang w:val="fr-CA"/>
        </w:rPr>
        <w:t xml:space="preserve"> </w:t>
      </w:r>
      <w:r w:rsidR="0046574C" w:rsidRPr="006D17A9">
        <w:rPr>
          <w:szCs w:val="24"/>
          <w:lang w:val="fr-CA"/>
        </w:rPr>
        <w:t xml:space="preserve">les </w:t>
      </w:r>
      <w:r w:rsidR="00397A38">
        <w:rPr>
          <w:szCs w:val="24"/>
          <w:lang w:val="fr-CA"/>
        </w:rPr>
        <w:t xml:space="preserve">tribunaux </w:t>
      </w:r>
      <w:r w:rsidR="0046574C" w:rsidRPr="006D17A9">
        <w:rPr>
          <w:szCs w:val="24"/>
          <w:lang w:val="fr-CA"/>
        </w:rPr>
        <w:t>québ</w:t>
      </w:r>
      <w:r w:rsidR="00E05B30">
        <w:rPr>
          <w:szCs w:val="24"/>
          <w:lang w:val="fr-CA"/>
        </w:rPr>
        <w:t>écoi</w:t>
      </w:r>
      <w:r w:rsidR="0046574C" w:rsidRPr="006D17A9">
        <w:rPr>
          <w:szCs w:val="24"/>
          <w:lang w:val="fr-CA"/>
        </w:rPr>
        <w:t>s ont compétence sur</w:t>
      </w:r>
      <w:r w:rsidR="0046574C">
        <w:rPr>
          <w:szCs w:val="24"/>
          <w:lang w:val="fr-CA"/>
        </w:rPr>
        <w:t xml:space="preserve"> les aspects tant personnel que </w:t>
      </w:r>
      <w:r w:rsidR="0046574C" w:rsidRPr="00A17B5B">
        <w:rPr>
          <w:i/>
          <w:szCs w:val="24"/>
          <w:lang w:val="fr-CA"/>
        </w:rPr>
        <w:t>sui generis</w:t>
      </w:r>
      <w:r w:rsidR="0046574C">
        <w:rPr>
          <w:szCs w:val="24"/>
          <w:lang w:val="fr-CA"/>
        </w:rPr>
        <w:t xml:space="preserve"> de la demande en vertu </w:t>
      </w:r>
      <w:proofErr w:type="gramStart"/>
      <w:r w:rsidR="0046574C">
        <w:rPr>
          <w:szCs w:val="24"/>
          <w:lang w:val="fr-CA"/>
        </w:rPr>
        <w:t>des art</w:t>
      </w:r>
      <w:proofErr w:type="gramEnd"/>
      <w:r w:rsidR="0046574C">
        <w:rPr>
          <w:szCs w:val="24"/>
          <w:lang w:val="fr-CA"/>
        </w:rPr>
        <w:t xml:space="preserve">. 3148 et 3134 du </w:t>
      </w:r>
      <w:r w:rsidR="0046574C" w:rsidRPr="0046574C">
        <w:rPr>
          <w:i/>
          <w:szCs w:val="24"/>
          <w:lang w:val="fr-CA"/>
        </w:rPr>
        <w:t>C.c.Q.</w:t>
      </w:r>
    </w:p>
    <w:p w:rsidR="00A71E89" w:rsidRPr="00184D08" w:rsidRDefault="0046574C" w:rsidP="00A71E89">
      <w:pPr>
        <w:pStyle w:val="SCCNormalDoubleSpacing"/>
        <w:spacing w:after="480"/>
        <w:rPr>
          <w:lang w:val="fr-CA"/>
        </w:rPr>
      </w:pPr>
      <w:r w:rsidRPr="006829B0">
        <w:rPr>
          <w:lang w:val="fr-CA"/>
        </w:rPr>
        <w:tab/>
      </w:r>
      <w:r w:rsidR="00730974">
        <w:rPr>
          <w:szCs w:val="24"/>
          <w:lang w:val="fr-CA"/>
        </w:rPr>
        <w:t>Le L</w:t>
      </w:r>
      <w:r w:rsidR="00184D08" w:rsidRPr="006D17A9">
        <w:rPr>
          <w:szCs w:val="24"/>
          <w:lang w:val="fr-CA"/>
        </w:rPr>
        <w:t xml:space="preserve">ivre dixième du </w:t>
      </w:r>
      <w:r w:rsidR="00470B6B">
        <w:rPr>
          <w:i/>
          <w:szCs w:val="24"/>
          <w:lang w:val="fr-CA"/>
        </w:rPr>
        <w:t>C.c.Q.</w:t>
      </w:r>
      <w:r w:rsidR="00184D08" w:rsidRPr="006D17A9">
        <w:rPr>
          <w:i/>
          <w:szCs w:val="24"/>
          <w:lang w:val="fr-CA"/>
        </w:rPr>
        <w:t xml:space="preserve"> </w:t>
      </w:r>
      <w:r w:rsidR="00184D08" w:rsidRPr="006D17A9">
        <w:rPr>
          <w:szCs w:val="24"/>
          <w:lang w:val="fr-CA"/>
        </w:rPr>
        <w:t>énonce les règles qui régissent le droit international privé dans la province. Pour des raisons de courtoisie, ces règles limitent la compétence des autorités du Québec aux affaires qui sont étroitement liées à la province</w:t>
      </w:r>
      <w:r w:rsidR="00184D08">
        <w:rPr>
          <w:szCs w:val="24"/>
          <w:lang w:val="fr-CA"/>
        </w:rPr>
        <w:t xml:space="preserve">. </w:t>
      </w:r>
      <w:r w:rsidR="00184D08" w:rsidRPr="006D17A9">
        <w:rPr>
          <w:szCs w:val="24"/>
          <w:lang w:val="fr-CA"/>
        </w:rPr>
        <w:t xml:space="preserve">Le </w:t>
      </w:r>
      <w:r w:rsidR="003D0FB4">
        <w:rPr>
          <w:i/>
          <w:szCs w:val="24"/>
          <w:lang w:val="fr-CA"/>
        </w:rPr>
        <w:t>C.c.Q.</w:t>
      </w:r>
      <w:r w:rsidR="00184D08" w:rsidRPr="006D17A9">
        <w:rPr>
          <w:szCs w:val="24"/>
          <w:lang w:val="fr-CA"/>
        </w:rPr>
        <w:t xml:space="preserve"> est muet quant à l’analyse appropriée à effectuer pour qualifier une action aux fins du chapitre deuxième</w:t>
      </w:r>
      <w:r w:rsidR="00A17B5B">
        <w:rPr>
          <w:szCs w:val="24"/>
          <w:lang w:val="fr-CA"/>
        </w:rPr>
        <w:t>,</w:t>
      </w:r>
      <w:r w:rsidR="00184D08">
        <w:rPr>
          <w:szCs w:val="24"/>
          <w:lang w:val="fr-CA"/>
        </w:rPr>
        <w:t xml:space="preserve"> </w:t>
      </w:r>
      <w:r w:rsidR="00184D08" w:rsidRPr="006D17A9">
        <w:rPr>
          <w:szCs w:val="24"/>
          <w:lang w:val="fr-CA"/>
        </w:rPr>
        <w:t>qui prévoit des règles de compétence particulières en fonction de la nature de l’action.</w:t>
      </w:r>
      <w:r w:rsidR="00184D08">
        <w:rPr>
          <w:szCs w:val="24"/>
          <w:lang w:val="fr-CA"/>
        </w:rPr>
        <w:t xml:space="preserve"> </w:t>
      </w:r>
      <w:r w:rsidR="00184D08" w:rsidRPr="006D17A9">
        <w:rPr>
          <w:szCs w:val="24"/>
          <w:lang w:val="fr-CA"/>
        </w:rPr>
        <w:t>À défaut d’indication du législateur, il faut prendre en considération la nature des droits en cause et des conclusions recherchées lorsque vient le temps de qualifier l’action.</w:t>
      </w:r>
      <w:r w:rsidR="00184D08">
        <w:rPr>
          <w:szCs w:val="24"/>
          <w:lang w:val="fr-CA"/>
        </w:rPr>
        <w:t xml:space="preserve"> </w:t>
      </w:r>
      <w:r w:rsidR="00184D08" w:rsidRPr="00184D08">
        <w:rPr>
          <w:lang w:val="fr-CA"/>
        </w:rPr>
        <w:t>I</w:t>
      </w:r>
      <w:r w:rsidR="00184D08" w:rsidRPr="00184D08">
        <w:rPr>
          <w:szCs w:val="24"/>
          <w:lang w:val="fr-CA"/>
        </w:rPr>
        <w:t>l faut inte</w:t>
      </w:r>
      <w:r w:rsidR="00730974">
        <w:rPr>
          <w:szCs w:val="24"/>
          <w:lang w:val="fr-CA"/>
        </w:rPr>
        <w:t>rpréter les règles énoncées au L</w:t>
      </w:r>
      <w:r w:rsidR="00184D08" w:rsidRPr="00184D08">
        <w:rPr>
          <w:szCs w:val="24"/>
          <w:lang w:val="fr-CA"/>
        </w:rPr>
        <w:t>ivre dixième à la lumière des impératifs de notre ordre constitutionnel</w:t>
      </w:r>
      <w:r w:rsidR="00184D08">
        <w:rPr>
          <w:szCs w:val="24"/>
          <w:lang w:val="fr-CA"/>
        </w:rPr>
        <w:t xml:space="preserve"> et </w:t>
      </w:r>
      <w:r w:rsidR="00184D08" w:rsidRPr="006D17A9">
        <w:rPr>
          <w:szCs w:val="24"/>
          <w:lang w:val="fr-CA"/>
        </w:rPr>
        <w:t>conformément à la Constitution</w:t>
      </w:r>
      <w:r w:rsidR="00184D08">
        <w:rPr>
          <w:szCs w:val="24"/>
          <w:lang w:val="fr-CA"/>
        </w:rPr>
        <w:t xml:space="preserve">. </w:t>
      </w:r>
      <w:r w:rsidR="00184D08" w:rsidRPr="006D17A9">
        <w:rPr>
          <w:szCs w:val="24"/>
          <w:lang w:val="fr-CA"/>
        </w:rPr>
        <w:t>Lorsque les droits garantis</w:t>
      </w:r>
      <w:r w:rsidR="00730974">
        <w:rPr>
          <w:szCs w:val="24"/>
          <w:lang w:val="fr-CA"/>
        </w:rPr>
        <w:t xml:space="preserve"> par l’art. 35 sont en jeu, le L</w:t>
      </w:r>
      <w:r w:rsidR="00184D08" w:rsidRPr="006D17A9">
        <w:rPr>
          <w:szCs w:val="24"/>
          <w:lang w:val="fr-CA"/>
        </w:rPr>
        <w:t>ivre dixième doit être interprété de manière à respecter les droits ancestraux et les droits issus de traités reconnus et confirmés par la Constitution, mais aussi en tenant compte des considérations relatives à l’accès à la justice</w:t>
      </w:r>
      <w:r w:rsidR="005B57DE">
        <w:rPr>
          <w:szCs w:val="24"/>
          <w:lang w:val="fr-CA"/>
        </w:rPr>
        <w:t>.</w:t>
      </w:r>
    </w:p>
    <w:p w:rsidR="0095567B" w:rsidRDefault="0095567B" w:rsidP="00A71E89">
      <w:pPr>
        <w:pStyle w:val="SCCNormalDoubleSpacing"/>
        <w:spacing w:after="480"/>
        <w:rPr>
          <w:lang w:val="fr-CA"/>
        </w:rPr>
      </w:pPr>
      <w:r>
        <w:rPr>
          <w:lang w:val="fr-CA"/>
        </w:rPr>
        <w:tab/>
        <w:t xml:space="preserve">Les droits ancestraux, y compris la </w:t>
      </w:r>
      <w:r w:rsidRPr="006D17A9">
        <w:rPr>
          <w:szCs w:val="24"/>
          <w:lang w:val="fr-CA"/>
        </w:rPr>
        <w:t>sous</w:t>
      </w:r>
      <w:r w:rsidR="00A17B5B">
        <w:rPr>
          <w:szCs w:val="24"/>
          <w:lang w:val="fr-CA"/>
        </w:rPr>
        <w:t>-</w:t>
      </w:r>
      <w:r w:rsidRPr="006D17A9">
        <w:rPr>
          <w:szCs w:val="24"/>
          <w:lang w:val="fr-CA"/>
        </w:rPr>
        <w:t>catégorie</w:t>
      </w:r>
      <w:r>
        <w:rPr>
          <w:szCs w:val="24"/>
          <w:lang w:val="fr-CA"/>
        </w:rPr>
        <w:t xml:space="preserve"> des titres ancestraux, sont des droits</w:t>
      </w:r>
      <w:r w:rsidR="00A17B5B">
        <w:rPr>
          <w:szCs w:val="24"/>
          <w:lang w:val="fr-CA"/>
        </w:rPr>
        <w:t xml:space="preserve"> de nature</w:t>
      </w:r>
      <w:r>
        <w:rPr>
          <w:szCs w:val="24"/>
          <w:lang w:val="fr-CA"/>
        </w:rPr>
        <w:t xml:space="preserve"> </w:t>
      </w:r>
      <w:r w:rsidRPr="0095567B">
        <w:rPr>
          <w:i/>
          <w:szCs w:val="24"/>
          <w:lang w:val="fr-CA"/>
        </w:rPr>
        <w:t>sui generis</w:t>
      </w:r>
      <w:r>
        <w:rPr>
          <w:szCs w:val="24"/>
          <w:lang w:val="fr-CA"/>
        </w:rPr>
        <w:t xml:space="preserve">. Un droit </w:t>
      </w:r>
      <w:r w:rsidRPr="006D17A9">
        <w:rPr>
          <w:i/>
          <w:szCs w:val="24"/>
          <w:lang w:val="fr-CA"/>
        </w:rPr>
        <w:t>sui generis</w:t>
      </w:r>
      <w:r w:rsidRPr="006D17A9">
        <w:rPr>
          <w:szCs w:val="24"/>
          <w:lang w:val="fr-CA"/>
        </w:rPr>
        <w:t xml:space="preserve"> est un droit unique </w:t>
      </w:r>
      <w:r w:rsidRPr="002B1E7A">
        <w:rPr>
          <w:szCs w:val="24"/>
          <w:lang w:val="fr-CA"/>
        </w:rPr>
        <w:t>qu’il est impossible de faire entrer dans aucune catégorie reconnue</w:t>
      </w:r>
      <w:r>
        <w:rPr>
          <w:szCs w:val="24"/>
          <w:lang w:val="fr-CA"/>
        </w:rPr>
        <w:t xml:space="preserve">. Il faut </w:t>
      </w:r>
      <w:r w:rsidRPr="006D17A9">
        <w:rPr>
          <w:szCs w:val="24"/>
          <w:lang w:val="fr-CA"/>
        </w:rPr>
        <w:t>veiller à ne pas confondre le titre ancestral avec les concepts traditionnels de droit civil ou de common law relatifs au droit des biens, ou même à ne pas qualifier ce titre en utilisant la terminologie habituelle du droit des biens</w:t>
      </w:r>
      <w:r w:rsidR="00A17B5B">
        <w:rPr>
          <w:szCs w:val="24"/>
          <w:lang w:val="fr-CA"/>
        </w:rPr>
        <w:t>,</w:t>
      </w:r>
      <w:r w:rsidRPr="002B1E7A">
        <w:rPr>
          <w:szCs w:val="24"/>
          <w:lang w:val="fr-CA"/>
        </w:rPr>
        <w:t> </w:t>
      </w:r>
      <w:r>
        <w:rPr>
          <w:szCs w:val="24"/>
          <w:lang w:val="fr-CA"/>
        </w:rPr>
        <w:t xml:space="preserve">puisqu’il </w:t>
      </w:r>
      <w:r w:rsidRPr="006D17A9">
        <w:rPr>
          <w:szCs w:val="24"/>
          <w:lang w:val="fr-CA"/>
        </w:rPr>
        <w:t xml:space="preserve">présente des caractéristiques </w:t>
      </w:r>
      <w:r w:rsidRPr="006D17A9">
        <w:rPr>
          <w:szCs w:val="24"/>
          <w:lang w:val="fr-CA"/>
        </w:rPr>
        <w:lastRenderedPageBreak/>
        <w:t>uniques qui le distinguent des notions de propriété du droit civil et de la common law</w:t>
      </w:r>
      <w:r>
        <w:rPr>
          <w:szCs w:val="24"/>
          <w:lang w:val="fr-CA"/>
        </w:rPr>
        <w:t xml:space="preserve">, y compris des </w:t>
      </w:r>
      <w:r w:rsidRPr="006D17A9">
        <w:rPr>
          <w:szCs w:val="24"/>
          <w:lang w:val="fr-CA"/>
        </w:rPr>
        <w:t>caractéristiques incompatibles avec la propriété au sens du droit civil et de la common law</w:t>
      </w:r>
      <w:r>
        <w:rPr>
          <w:szCs w:val="24"/>
          <w:lang w:val="fr-CA"/>
        </w:rPr>
        <w:t>. Par exemple, l</w:t>
      </w:r>
      <w:r w:rsidRPr="006D17A9">
        <w:rPr>
          <w:szCs w:val="24"/>
          <w:lang w:val="fr-CA"/>
        </w:rPr>
        <w:t>e titre ancestral est un titre intrinsèquement collectif</w:t>
      </w:r>
      <w:r>
        <w:rPr>
          <w:szCs w:val="24"/>
          <w:lang w:val="fr-CA"/>
        </w:rPr>
        <w:t xml:space="preserve"> et il </w:t>
      </w:r>
      <w:r w:rsidRPr="006D17A9">
        <w:rPr>
          <w:szCs w:val="24"/>
          <w:lang w:val="fr-CA"/>
        </w:rPr>
        <w:t xml:space="preserve">prévoit des restrictions à la cession des </w:t>
      </w:r>
      <w:r w:rsidRPr="006D17A9">
        <w:rPr>
          <w:color w:val="000000"/>
          <w:szCs w:val="24"/>
          <w:shd w:val="clear" w:color="auto" w:fill="FFFFFF"/>
          <w:lang w:val="fr-CA"/>
        </w:rPr>
        <w:t xml:space="preserve">terres et à </w:t>
      </w:r>
      <w:r w:rsidRPr="006D17A9">
        <w:rPr>
          <w:szCs w:val="24"/>
          <w:lang w:val="fr-CA"/>
        </w:rPr>
        <w:t>l’utilisation qu’on peut en faire</w:t>
      </w:r>
      <w:r>
        <w:rPr>
          <w:szCs w:val="24"/>
          <w:lang w:val="fr-CA"/>
        </w:rPr>
        <w:t>. L</w:t>
      </w:r>
      <w:r w:rsidRPr="006D17A9">
        <w:rPr>
          <w:szCs w:val="24"/>
          <w:lang w:val="fr-CA"/>
        </w:rPr>
        <w:t xml:space="preserve">e titre ancestral est aussi solidement ancré dans les relations qui sont le fruit du croisement de l’occupation antérieure et de l’affirmation de la souveraineté par la </w:t>
      </w:r>
      <w:r>
        <w:rPr>
          <w:szCs w:val="24"/>
          <w:lang w:val="fr-CA"/>
        </w:rPr>
        <w:t xml:space="preserve">Couronne, </w:t>
      </w:r>
      <w:r w:rsidR="00194230">
        <w:rPr>
          <w:szCs w:val="24"/>
          <w:lang w:val="fr-CA"/>
        </w:rPr>
        <w:t>qui donne</w:t>
      </w:r>
      <w:r w:rsidR="001935D8">
        <w:rPr>
          <w:szCs w:val="24"/>
          <w:lang w:val="fr-CA"/>
        </w:rPr>
        <w:t>nt</w:t>
      </w:r>
      <w:r w:rsidR="00194230">
        <w:rPr>
          <w:szCs w:val="24"/>
          <w:lang w:val="fr-CA"/>
        </w:rPr>
        <w:t xml:space="preserve"> naissance à des </w:t>
      </w:r>
      <w:r w:rsidR="00194230" w:rsidRPr="006D17A9">
        <w:rPr>
          <w:color w:val="000000"/>
          <w:szCs w:val="24"/>
          <w:shd w:val="clear" w:color="auto" w:fill="FFFFFF"/>
          <w:lang w:val="fr-CA"/>
        </w:rPr>
        <w:t>obligations liées à l’honneur de la Couronne qui s’apparentent définitivement plus à des droits personnels</w:t>
      </w:r>
      <w:r w:rsidR="00194230">
        <w:rPr>
          <w:szCs w:val="24"/>
          <w:lang w:val="fr-CA"/>
        </w:rPr>
        <w:t>. O</w:t>
      </w:r>
      <w:r w:rsidR="00194230" w:rsidRPr="006D17A9">
        <w:rPr>
          <w:szCs w:val="24"/>
          <w:lang w:val="fr-CA"/>
        </w:rPr>
        <w:t xml:space="preserve">n devrait </w:t>
      </w:r>
      <w:r w:rsidR="00194230">
        <w:rPr>
          <w:szCs w:val="24"/>
          <w:lang w:val="fr-CA"/>
        </w:rPr>
        <w:t xml:space="preserve">aussi </w:t>
      </w:r>
      <w:r w:rsidR="00194230" w:rsidRPr="006D17A9">
        <w:rPr>
          <w:szCs w:val="24"/>
          <w:lang w:val="fr-CA"/>
        </w:rPr>
        <w:t xml:space="preserve">aborder les conflits relatifs à un titre </w:t>
      </w:r>
      <w:r w:rsidR="00A17B5B">
        <w:rPr>
          <w:szCs w:val="24"/>
          <w:lang w:val="fr-CA"/>
        </w:rPr>
        <w:t xml:space="preserve">ancestral </w:t>
      </w:r>
      <w:r w:rsidR="00194230" w:rsidRPr="006D17A9">
        <w:rPr>
          <w:szCs w:val="24"/>
          <w:lang w:val="fr-CA"/>
        </w:rPr>
        <w:t xml:space="preserve">en référant </w:t>
      </w:r>
      <w:r w:rsidR="00194230">
        <w:rPr>
          <w:szCs w:val="24"/>
          <w:lang w:val="fr-CA"/>
        </w:rPr>
        <w:t>au</w:t>
      </w:r>
      <w:r w:rsidR="00194230" w:rsidRPr="006D17A9">
        <w:rPr>
          <w:szCs w:val="24"/>
          <w:lang w:val="fr-CA"/>
        </w:rPr>
        <w:t xml:space="preserve"> point de vue des Autochtones</w:t>
      </w:r>
      <w:r w:rsidR="00194230">
        <w:rPr>
          <w:szCs w:val="24"/>
          <w:lang w:val="fr-CA"/>
        </w:rPr>
        <w:t>. Les droits protégés par l’art</w:t>
      </w:r>
      <w:r w:rsidR="00A17B5B">
        <w:rPr>
          <w:szCs w:val="24"/>
          <w:lang w:val="fr-CA"/>
        </w:rPr>
        <w:t>.</w:t>
      </w:r>
      <w:r w:rsidR="00C70E7E">
        <w:rPr>
          <w:szCs w:val="24"/>
          <w:lang w:val="fr-CA"/>
        </w:rPr>
        <w:t> </w:t>
      </w:r>
      <w:r w:rsidR="00194230">
        <w:rPr>
          <w:szCs w:val="24"/>
          <w:lang w:val="fr-CA"/>
        </w:rPr>
        <w:t xml:space="preserve">35 </w:t>
      </w:r>
      <w:r w:rsidR="00194230" w:rsidRPr="006D17A9">
        <w:rPr>
          <w:szCs w:val="24"/>
          <w:lang w:val="fr-CA"/>
        </w:rPr>
        <w:t>ne sont ni des droits réels ni des droits personnels au sens du droit civil</w:t>
      </w:r>
      <w:r w:rsidR="00194230">
        <w:rPr>
          <w:szCs w:val="24"/>
          <w:lang w:val="fr-CA"/>
        </w:rPr>
        <w:t xml:space="preserve">, </w:t>
      </w:r>
      <w:r w:rsidR="00A17B5B">
        <w:rPr>
          <w:szCs w:val="24"/>
          <w:lang w:val="fr-CA"/>
        </w:rPr>
        <w:t>ils</w:t>
      </w:r>
      <w:r w:rsidR="00194230">
        <w:rPr>
          <w:szCs w:val="24"/>
          <w:lang w:val="fr-CA"/>
        </w:rPr>
        <w:t xml:space="preserve"> ne sont pas</w:t>
      </w:r>
      <w:r w:rsidR="00A17B5B">
        <w:rPr>
          <w:szCs w:val="24"/>
          <w:lang w:val="fr-CA"/>
        </w:rPr>
        <w:t xml:space="preserve"> non plus</w:t>
      </w:r>
      <w:r w:rsidR="00194230">
        <w:rPr>
          <w:szCs w:val="24"/>
          <w:lang w:val="fr-CA"/>
        </w:rPr>
        <w:t xml:space="preserve"> </w:t>
      </w:r>
      <w:r w:rsidR="00194230" w:rsidRPr="006D17A9">
        <w:rPr>
          <w:szCs w:val="24"/>
          <w:lang w:val="fr-CA"/>
        </w:rPr>
        <w:t>simplement un amalgame</w:t>
      </w:r>
      <w:r w:rsidR="00194230">
        <w:rPr>
          <w:lang w:val="fr-CA"/>
        </w:rPr>
        <w:t xml:space="preserve"> de ces deux types de droits; ce sont des droits </w:t>
      </w:r>
      <w:r w:rsidR="00194230" w:rsidRPr="00194230">
        <w:rPr>
          <w:i/>
          <w:lang w:val="fr-CA"/>
        </w:rPr>
        <w:t>sui generis</w:t>
      </w:r>
      <w:r w:rsidR="00194230">
        <w:rPr>
          <w:lang w:val="fr-CA"/>
        </w:rPr>
        <w:t xml:space="preserve"> </w:t>
      </w:r>
      <w:r w:rsidR="00194230" w:rsidRPr="006D17A9">
        <w:rPr>
          <w:szCs w:val="24"/>
          <w:lang w:val="fr-CA"/>
        </w:rPr>
        <w:t>juridiquement distincts</w:t>
      </w:r>
      <w:r w:rsidR="00194230">
        <w:rPr>
          <w:szCs w:val="24"/>
          <w:lang w:val="fr-CA"/>
        </w:rPr>
        <w:t>.</w:t>
      </w:r>
    </w:p>
    <w:p w:rsidR="00245909" w:rsidRDefault="00C70E7E" w:rsidP="00C70E7E">
      <w:pPr>
        <w:pStyle w:val="SCCNormalDoubleSpacing"/>
        <w:spacing w:after="480"/>
        <w:rPr>
          <w:szCs w:val="24"/>
          <w:lang w:val="fr-CA"/>
        </w:rPr>
      </w:pPr>
      <w:r>
        <w:rPr>
          <w:szCs w:val="24"/>
          <w:lang w:val="fr-CA"/>
        </w:rPr>
        <w:tab/>
      </w:r>
      <w:r w:rsidR="00194230" w:rsidRPr="006D17A9">
        <w:rPr>
          <w:szCs w:val="24"/>
          <w:lang w:val="fr-CA"/>
        </w:rPr>
        <w:t xml:space="preserve">Dans le contexte </w:t>
      </w:r>
      <w:r w:rsidR="00A17B5B">
        <w:rPr>
          <w:szCs w:val="24"/>
          <w:lang w:val="fr-CA"/>
        </w:rPr>
        <w:t>de</w:t>
      </w:r>
      <w:r w:rsidR="00194230" w:rsidRPr="006D17A9">
        <w:rPr>
          <w:szCs w:val="24"/>
          <w:lang w:val="fr-CA"/>
        </w:rPr>
        <w:t xml:space="preserve"> revendications fondées sur l’art. 35 qui concernent un territoire chevauchant plusieurs provinces, le principe de l’accès à la justice commande que les règles en matière de compétence soient interprétées avec souplesse de manière à ne pas empêcher les peuples autochtones de faire valoir leurs droits constitutionnels, y compris leurs droits traditionne</w:t>
      </w:r>
      <w:r w:rsidR="00194230">
        <w:rPr>
          <w:szCs w:val="24"/>
          <w:lang w:val="fr-CA"/>
        </w:rPr>
        <w:t>ls à l’égard d’un territoire.</w:t>
      </w:r>
      <w:r w:rsidR="00245909">
        <w:rPr>
          <w:szCs w:val="24"/>
          <w:lang w:val="fr-CA"/>
        </w:rPr>
        <w:t xml:space="preserve"> En outre, l</w:t>
      </w:r>
      <w:r w:rsidR="00245909" w:rsidRPr="006D17A9">
        <w:rPr>
          <w:szCs w:val="24"/>
          <w:lang w:val="fr-CA"/>
        </w:rPr>
        <w:t>e principe de l’honneur de la Couronne exige quant à lui que l’on soit soucieux de minimiser les coûts et la complexité des causes fondées sur l’art. 35.</w:t>
      </w:r>
      <w:r w:rsidR="00245909">
        <w:rPr>
          <w:szCs w:val="24"/>
          <w:lang w:val="fr-CA"/>
        </w:rPr>
        <w:t xml:space="preserve"> </w:t>
      </w:r>
      <w:r w:rsidR="00245909" w:rsidRPr="006D17A9">
        <w:rPr>
          <w:szCs w:val="24"/>
          <w:lang w:val="fr-CA"/>
        </w:rPr>
        <w:t xml:space="preserve">Lorsqu’une revendication de titre ou de droits ancestraux concerne un territoire qui chevauche la frontière </w:t>
      </w:r>
      <w:r w:rsidR="00245909">
        <w:rPr>
          <w:szCs w:val="24"/>
          <w:lang w:val="fr-CA"/>
        </w:rPr>
        <w:t>sépar</w:t>
      </w:r>
      <w:r w:rsidR="00A17B5B">
        <w:rPr>
          <w:szCs w:val="24"/>
          <w:lang w:val="fr-CA"/>
        </w:rPr>
        <w:t>ant</w:t>
      </w:r>
      <w:r w:rsidR="00245909">
        <w:rPr>
          <w:szCs w:val="24"/>
          <w:lang w:val="fr-CA"/>
        </w:rPr>
        <w:t xml:space="preserve"> </w:t>
      </w:r>
      <w:r w:rsidR="00245909" w:rsidRPr="006D17A9">
        <w:rPr>
          <w:szCs w:val="24"/>
          <w:lang w:val="fr-CA"/>
        </w:rPr>
        <w:t xml:space="preserve">plusieurs provinces, le fait d’obliger le demandeur à plaider plusieurs fois les </w:t>
      </w:r>
      <w:r w:rsidR="00245909" w:rsidRPr="00245909">
        <w:rPr>
          <w:szCs w:val="24"/>
          <w:lang w:val="fr-CA"/>
        </w:rPr>
        <w:t>mêmes questions</w:t>
      </w:r>
      <w:r w:rsidR="00245909" w:rsidRPr="006D17A9">
        <w:rPr>
          <w:szCs w:val="24"/>
          <w:lang w:val="fr-CA"/>
        </w:rPr>
        <w:t xml:space="preserve"> devant des cours distinctes crée</w:t>
      </w:r>
      <w:r w:rsidR="00245909">
        <w:rPr>
          <w:szCs w:val="24"/>
          <w:lang w:val="fr-CA"/>
        </w:rPr>
        <w:t>rait</w:t>
      </w:r>
      <w:r w:rsidR="00245909" w:rsidRPr="006D17A9">
        <w:rPr>
          <w:szCs w:val="24"/>
          <w:lang w:val="fr-CA"/>
        </w:rPr>
        <w:t xml:space="preserve"> des obstacles inutiles à des revendications potentiellement valides. </w:t>
      </w:r>
      <w:r w:rsidR="00245909">
        <w:rPr>
          <w:szCs w:val="24"/>
          <w:lang w:val="fr-CA"/>
        </w:rPr>
        <w:t xml:space="preserve">Cela </w:t>
      </w:r>
      <w:r w:rsidR="00245909" w:rsidRPr="006D17A9">
        <w:rPr>
          <w:szCs w:val="24"/>
          <w:lang w:val="fr-CA"/>
        </w:rPr>
        <w:t xml:space="preserve">serait particulièrement injuste </w:t>
      </w:r>
      <w:r w:rsidR="00A17B5B">
        <w:rPr>
          <w:szCs w:val="24"/>
          <w:lang w:val="fr-CA"/>
        </w:rPr>
        <w:t xml:space="preserve">dans la mesure où </w:t>
      </w:r>
      <w:r w:rsidR="00245909" w:rsidRPr="006D17A9">
        <w:rPr>
          <w:szCs w:val="24"/>
          <w:lang w:val="fr-CA"/>
        </w:rPr>
        <w:t xml:space="preserve">les droits revendiqués sont antérieurs à l’établissement des frontières provinciales imposées aux </w:t>
      </w:r>
      <w:r w:rsidR="00245909" w:rsidRPr="006D17A9">
        <w:rPr>
          <w:szCs w:val="24"/>
          <w:lang w:val="fr-CA"/>
        </w:rPr>
        <w:lastRenderedPageBreak/>
        <w:t>peuples autochtones</w:t>
      </w:r>
      <w:r w:rsidR="00245909">
        <w:rPr>
          <w:szCs w:val="24"/>
          <w:lang w:val="fr-CA"/>
        </w:rPr>
        <w:t>. L</w:t>
      </w:r>
      <w:r w:rsidR="00245909" w:rsidRPr="006D17A9">
        <w:rPr>
          <w:szCs w:val="24"/>
          <w:lang w:val="fr-CA"/>
        </w:rPr>
        <w:t xml:space="preserve">’établissement ultérieur de frontières provinciales </w:t>
      </w:r>
      <w:r w:rsidR="00245909">
        <w:rPr>
          <w:szCs w:val="24"/>
          <w:lang w:val="fr-CA"/>
        </w:rPr>
        <w:t xml:space="preserve">ne </w:t>
      </w:r>
      <w:r w:rsidR="00245909" w:rsidRPr="006D17A9">
        <w:rPr>
          <w:szCs w:val="24"/>
          <w:lang w:val="fr-CA"/>
        </w:rPr>
        <w:t xml:space="preserve">devrait </w:t>
      </w:r>
      <w:r w:rsidR="00245909">
        <w:rPr>
          <w:szCs w:val="24"/>
          <w:lang w:val="fr-CA"/>
        </w:rPr>
        <w:t xml:space="preserve">pas </w:t>
      </w:r>
      <w:r w:rsidR="00245909" w:rsidRPr="006D17A9">
        <w:rPr>
          <w:szCs w:val="24"/>
          <w:lang w:val="fr-CA"/>
        </w:rPr>
        <w:t>permettre de priver les Autochtones de leur droit à des réparations efficaces pour des violations alléguées de ces droits préexistants ou d’y porter atteinte</w:t>
      </w:r>
      <w:r w:rsidR="00245909">
        <w:rPr>
          <w:szCs w:val="24"/>
          <w:lang w:val="fr-CA"/>
        </w:rPr>
        <w:t xml:space="preserve">. </w:t>
      </w:r>
      <w:r w:rsidR="00245909" w:rsidRPr="006D17A9">
        <w:rPr>
          <w:szCs w:val="24"/>
          <w:lang w:val="fr-CA"/>
        </w:rPr>
        <w:t xml:space="preserve">Même si les provinces n’ont pas de compétence </w:t>
      </w:r>
      <w:r w:rsidR="00245909" w:rsidRPr="00245909">
        <w:rPr>
          <w:szCs w:val="24"/>
          <w:lang w:val="fr-CA"/>
        </w:rPr>
        <w:t>législative à</w:t>
      </w:r>
      <w:r w:rsidR="00245909" w:rsidRPr="006D17A9">
        <w:rPr>
          <w:szCs w:val="24"/>
          <w:lang w:val="fr-CA"/>
        </w:rPr>
        <w:t xml:space="preserve"> l’égard des droits garantis par l’art. 35, leurs </w:t>
      </w:r>
      <w:r w:rsidR="00A17B5B">
        <w:rPr>
          <w:szCs w:val="24"/>
          <w:lang w:val="fr-CA"/>
        </w:rPr>
        <w:t>tribunaux</w:t>
      </w:r>
      <w:r w:rsidR="00245909" w:rsidRPr="006D17A9">
        <w:rPr>
          <w:szCs w:val="24"/>
          <w:lang w:val="fr-CA"/>
        </w:rPr>
        <w:t xml:space="preserve"> instruisent certainement ce type d’affaires.</w:t>
      </w:r>
      <w:r w:rsidR="00245909">
        <w:rPr>
          <w:szCs w:val="24"/>
          <w:lang w:val="fr-CA"/>
        </w:rPr>
        <w:t xml:space="preserve"> Un tribunal peut avoir une </w:t>
      </w:r>
      <w:r w:rsidR="00245909" w:rsidRPr="006D17A9">
        <w:rPr>
          <w:szCs w:val="24"/>
          <w:lang w:val="fr-CA"/>
        </w:rPr>
        <w:t xml:space="preserve">compétence </w:t>
      </w:r>
      <w:r w:rsidR="00245909" w:rsidRPr="00245909">
        <w:rPr>
          <w:szCs w:val="24"/>
          <w:lang w:val="fr-CA"/>
        </w:rPr>
        <w:t>juridictionnelle à</w:t>
      </w:r>
      <w:r w:rsidR="00245909" w:rsidRPr="006D17A9">
        <w:rPr>
          <w:szCs w:val="24"/>
          <w:lang w:val="fr-CA"/>
        </w:rPr>
        <w:t xml:space="preserve"> l’égard de la propriété à l’extérieur de la province</w:t>
      </w:r>
      <w:r w:rsidR="00245909">
        <w:rPr>
          <w:szCs w:val="24"/>
          <w:lang w:val="fr-CA"/>
        </w:rPr>
        <w:t xml:space="preserve"> </w:t>
      </w:r>
      <w:r w:rsidR="00245909" w:rsidRPr="006D17A9">
        <w:rPr>
          <w:szCs w:val="24"/>
          <w:lang w:val="fr-CA"/>
        </w:rPr>
        <w:t>dans le contexte de l’art. 35</w:t>
      </w:r>
      <w:r w:rsidR="00A17B5B">
        <w:rPr>
          <w:szCs w:val="24"/>
          <w:lang w:val="fr-CA"/>
        </w:rPr>
        <w:t>,</w:t>
      </w:r>
      <w:r w:rsidR="00245909" w:rsidRPr="006D17A9">
        <w:rPr>
          <w:szCs w:val="24"/>
          <w:lang w:val="fr-CA"/>
        </w:rPr>
        <w:t xml:space="preserve"> parce </w:t>
      </w:r>
      <w:r w:rsidR="00245909">
        <w:rPr>
          <w:szCs w:val="24"/>
          <w:lang w:val="fr-CA"/>
        </w:rPr>
        <w:t xml:space="preserve">qu’il est question de </w:t>
      </w:r>
      <w:r w:rsidR="00245909" w:rsidRPr="006D17A9">
        <w:rPr>
          <w:szCs w:val="24"/>
          <w:lang w:val="fr-CA"/>
        </w:rPr>
        <w:t xml:space="preserve">droits </w:t>
      </w:r>
      <w:r w:rsidR="00245909" w:rsidRPr="006D17A9">
        <w:rPr>
          <w:i/>
          <w:iCs/>
          <w:szCs w:val="24"/>
          <w:lang w:val="fr-CA"/>
        </w:rPr>
        <w:t>sui generis</w:t>
      </w:r>
      <w:r w:rsidR="00A17B5B">
        <w:rPr>
          <w:iCs/>
          <w:szCs w:val="24"/>
          <w:lang w:val="fr-CA"/>
        </w:rPr>
        <w:t>,</w:t>
      </w:r>
      <w:r w:rsidR="00245909" w:rsidRPr="006D17A9">
        <w:rPr>
          <w:szCs w:val="24"/>
          <w:lang w:val="fr-CA"/>
        </w:rPr>
        <w:t xml:space="preserve"> et non de droits réels</w:t>
      </w:r>
      <w:r w:rsidR="00245909">
        <w:rPr>
          <w:szCs w:val="24"/>
          <w:lang w:val="fr-CA"/>
        </w:rPr>
        <w:t xml:space="preserve">, et parce que cette disposition </w:t>
      </w:r>
      <w:r w:rsidR="00245909" w:rsidRPr="006D17A9">
        <w:rPr>
          <w:szCs w:val="24"/>
          <w:lang w:val="fr-CA"/>
        </w:rPr>
        <w:t xml:space="preserve">s’applique uniformément partout au </w:t>
      </w:r>
      <w:r w:rsidR="00245909" w:rsidRPr="0057483C">
        <w:rPr>
          <w:szCs w:val="24"/>
          <w:lang w:val="fr-CA"/>
        </w:rPr>
        <w:t>Canada</w:t>
      </w:r>
      <w:r w:rsidR="00245909">
        <w:rPr>
          <w:szCs w:val="24"/>
          <w:lang w:val="fr-CA"/>
        </w:rPr>
        <w:t xml:space="preserve">. </w:t>
      </w:r>
      <w:r w:rsidR="00245909" w:rsidRPr="0057483C">
        <w:rPr>
          <w:szCs w:val="24"/>
          <w:lang w:val="fr-CA"/>
        </w:rPr>
        <w:t>La</w:t>
      </w:r>
      <w:r w:rsidR="00245909" w:rsidRPr="006D17A9">
        <w:rPr>
          <w:szCs w:val="24"/>
          <w:lang w:val="fr-CA"/>
        </w:rPr>
        <w:t xml:space="preserve"> question de savoir si le droit ancestral ou le droit issu d’un traité revendiqué jouit de la protection constitutionnelle prévue à l’art. 35 </w:t>
      </w:r>
      <w:proofErr w:type="gramStart"/>
      <w:r w:rsidR="00245909" w:rsidRPr="006D17A9">
        <w:rPr>
          <w:szCs w:val="24"/>
          <w:lang w:val="fr-CA"/>
        </w:rPr>
        <w:t>relève</w:t>
      </w:r>
      <w:proofErr w:type="gramEnd"/>
      <w:r w:rsidR="00245909" w:rsidRPr="006D17A9">
        <w:rPr>
          <w:szCs w:val="24"/>
          <w:lang w:val="fr-CA"/>
        </w:rPr>
        <w:t xml:space="preserve"> du droit constitutionnel</w:t>
      </w:r>
      <w:r w:rsidR="00245909">
        <w:rPr>
          <w:szCs w:val="24"/>
          <w:lang w:val="fr-CA"/>
        </w:rPr>
        <w:t xml:space="preserve">. </w:t>
      </w:r>
      <w:r w:rsidR="00245909" w:rsidRPr="006D17A9">
        <w:rPr>
          <w:szCs w:val="24"/>
          <w:lang w:val="fr-CA"/>
        </w:rPr>
        <w:t>Ni l’art</w:t>
      </w:r>
      <w:r w:rsidR="00A17B5B">
        <w:rPr>
          <w:szCs w:val="24"/>
          <w:lang w:val="fr-CA"/>
        </w:rPr>
        <w:t>.</w:t>
      </w:r>
      <w:r w:rsidR="00245909">
        <w:rPr>
          <w:szCs w:val="24"/>
          <w:lang w:val="fr-CA"/>
        </w:rPr>
        <w:t> </w:t>
      </w:r>
      <w:r w:rsidR="00245909" w:rsidRPr="006D17A9">
        <w:rPr>
          <w:szCs w:val="24"/>
          <w:lang w:val="fr-CA"/>
        </w:rPr>
        <w:t xml:space="preserve">35 ni le droit constitutionnel ne sont étrangers au Québec ou à </w:t>
      </w:r>
      <w:r w:rsidR="00245909">
        <w:rPr>
          <w:szCs w:val="24"/>
          <w:lang w:val="fr-CA"/>
        </w:rPr>
        <w:t>ses tribunaux</w:t>
      </w:r>
      <w:r w:rsidR="00245909" w:rsidRPr="006D17A9">
        <w:rPr>
          <w:szCs w:val="24"/>
          <w:lang w:val="fr-CA"/>
        </w:rPr>
        <w:t>.</w:t>
      </w:r>
    </w:p>
    <w:p w:rsidR="00A71E89" w:rsidRPr="001B354F" w:rsidRDefault="00245909" w:rsidP="00C70E7E">
      <w:pPr>
        <w:pStyle w:val="SCCNormalDoubleSpacing"/>
        <w:spacing w:after="480"/>
        <w:rPr>
          <w:lang w:val="fr-CA"/>
        </w:rPr>
      </w:pPr>
      <w:r w:rsidRPr="001B354F">
        <w:rPr>
          <w:szCs w:val="24"/>
          <w:lang w:val="fr-CA"/>
        </w:rPr>
        <w:tab/>
      </w:r>
      <w:r w:rsidR="00B06523" w:rsidRPr="001B354F">
        <w:rPr>
          <w:szCs w:val="24"/>
          <w:lang w:val="fr-CA"/>
        </w:rPr>
        <w:t xml:space="preserve">En l’espèce, la demande relève de la catégorie des actions mixtes. Pour pouvoir connaître d’une action mixte classique, le tribunal québécois doit nécessairement être compétent tant pour </w:t>
      </w:r>
      <w:r w:rsidR="00A17B5B">
        <w:rPr>
          <w:szCs w:val="24"/>
          <w:lang w:val="fr-CA"/>
        </w:rPr>
        <w:t xml:space="preserve">l’aspect </w:t>
      </w:r>
      <w:r w:rsidR="00B06523" w:rsidRPr="001B354F">
        <w:rPr>
          <w:szCs w:val="24"/>
          <w:lang w:val="fr-CA"/>
        </w:rPr>
        <w:t xml:space="preserve">personnel que pour </w:t>
      </w:r>
      <w:r w:rsidR="00A17B5B">
        <w:rPr>
          <w:szCs w:val="24"/>
          <w:lang w:val="fr-CA"/>
        </w:rPr>
        <w:t xml:space="preserve">l’aspect </w:t>
      </w:r>
      <w:r w:rsidR="00B06523" w:rsidRPr="001B354F">
        <w:rPr>
          <w:szCs w:val="24"/>
          <w:lang w:val="fr-CA"/>
        </w:rPr>
        <w:t>réel</w:t>
      </w:r>
      <w:r w:rsidR="00A17B5B">
        <w:rPr>
          <w:szCs w:val="24"/>
          <w:lang w:val="fr-CA"/>
        </w:rPr>
        <w:t xml:space="preserve"> de l’action</w:t>
      </w:r>
      <w:r w:rsidR="00B06523" w:rsidRPr="001B354F">
        <w:rPr>
          <w:szCs w:val="24"/>
          <w:lang w:val="fr-CA"/>
        </w:rPr>
        <w:t xml:space="preserve">. Il ne s’agit toutefois pas </w:t>
      </w:r>
      <w:r w:rsidR="00A17B5B">
        <w:rPr>
          <w:szCs w:val="24"/>
          <w:lang w:val="fr-CA"/>
        </w:rPr>
        <w:t xml:space="preserve">ici </w:t>
      </w:r>
      <w:r w:rsidR="00B06523" w:rsidRPr="001B354F">
        <w:rPr>
          <w:szCs w:val="24"/>
          <w:lang w:val="fr-CA"/>
        </w:rPr>
        <w:t xml:space="preserve">d’une action mixte classique. Il s’agit plutôt d’une action mixte qui suppose la reconnaissance d’un droit </w:t>
      </w:r>
      <w:r w:rsidR="00B06523" w:rsidRPr="001B354F">
        <w:rPr>
          <w:i/>
          <w:iCs/>
          <w:szCs w:val="24"/>
          <w:lang w:val="fr-CA"/>
        </w:rPr>
        <w:t>sui generis</w:t>
      </w:r>
      <w:r w:rsidR="00B06523" w:rsidRPr="001B354F">
        <w:rPr>
          <w:szCs w:val="24"/>
          <w:lang w:val="fr-CA"/>
        </w:rPr>
        <w:t xml:space="preserve"> (en sollicitant un jugement déclaratoire reconnaissant un titre ancestral) et l’exécution de diverses obligations liées au non</w:t>
      </w:r>
      <w:r w:rsidR="00B06523" w:rsidRPr="001B354F">
        <w:rPr>
          <w:szCs w:val="24"/>
          <w:lang w:val="fr-CA"/>
        </w:rPr>
        <w:noBreakHyphen/>
        <w:t>respect de ce droit (en réclamant des dommages</w:t>
      </w:r>
      <w:r w:rsidR="00B06523" w:rsidRPr="001B354F">
        <w:rPr>
          <w:szCs w:val="24"/>
          <w:lang w:val="fr-CA"/>
        </w:rPr>
        <w:noBreakHyphen/>
        <w:t>intérêts pour délit et troubles de voisinage), soit, l’aspect personne</w:t>
      </w:r>
      <w:r w:rsidR="00A17B5B">
        <w:rPr>
          <w:szCs w:val="24"/>
          <w:lang w:val="fr-CA"/>
        </w:rPr>
        <w:t>l</w:t>
      </w:r>
      <w:r w:rsidR="00B06523" w:rsidRPr="001B354F">
        <w:rPr>
          <w:szCs w:val="24"/>
          <w:lang w:val="fr-CA"/>
        </w:rPr>
        <w:t xml:space="preserve">. Dans le contexte d’une action mixte non classique de ce type, le tribunal québécois a compétence à la fois sur l’aspect personnel et sur l’aspect </w:t>
      </w:r>
      <w:r w:rsidR="00B06523" w:rsidRPr="001B354F">
        <w:rPr>
          <w:i/>
          <w:iCs/>
          <w:szCs w:val="24"/>
          <w:lang w:val="fr-CA"/>
        </w:rPr>
        <w:t>sui generis</w:t>
      </w:r>
      <w:r w:rsidR="00B06523" w:rsidRPr="001B354F">
        <w:rPr>
          <w:szCs w:val="24"/>
          <w:lang w:val="fr-CA"/>
        </w:rPr>
        <w:t xml:space="preserve"> de la demande. Les actions pour délit et pour troubles de voisinage sont généralement qualifiées d’actions personnelles et l’art</w:t>
      </w:r>
      <w:r w:rsidR="00A17B5B">
        <w:rPr>
          <w:szCs w:val="24"/>
          <w:lang w:val="fr-CA"/>
        </w:rPr>
        <w:t>.</w:t>
      </w:r>
      <w:r w:rsidR="00B06523" w:rsidRPr="001B354F">
        <w:rPr>
          <w:szCs w:val="24"/>
          <w:lang w:val="fr-CA"/>
        </w:rPr>
        <w:t xml:space="preserve"> 3148 du </w:t>
      </w:r>
      <w:r w:rsidR="00B06523" w:rsidRPr="001B354F">
        <w:rPr>
          <w:i/>
          <w:iCs/>
          <w:szCs w:val="24"/>
          <w:lang w:val="fr-CA"/>
        </w:rPr>
        <w:t>C.c.Q</w:t>
      </w:r>
      <w:r w:rsidR="00B06523" w:rsidRPr="001B354F">
        <w:rPr>
          <w:szCs w:val="24"/>
          <w:lang w:val="fr-CA"/>
        </w:rPr>
        <w:t xml:space="preserve">. confère aux autorités québécoises la compétence d’entendre les actions personnelles à caractère patrimonial lorsque le défendeur a son domicile au Québec. Le </w:t>
      </w:r>
      <w:r w:rsidR="009B5394">
        <w:rPr>
          <w:i/>
          <w:iCs/>
          <w:szCs w:val="24"/>
          <w:lang w:val="fr-CA"/>
        </w:rPr>
        <w:lastRenderedPageBreak/>
        <w:t>C.c.Q.</w:t>
      </w:r>
      <w:r w:rsidR="00B06523" w:rsidRPr="001B354F">
        <w:rPr>
          <w:szCs w:val="24"/>
          <w:lang w:val="fr-CA"/>
        </w:rPr>
        <w:t xml:space="preserve"> est toutefois muet quant à la compétence des autorités québécoises en ce qui concerne les aspects de la demande qui ont trait à la reconnaissance d’un droit </w:t>
      </w:r>
      <w:r w:rsidR="00B06523" w:rsidRPr="001B354F">
        <w:rPr>
          <w:i/>
          <w:iCs/>
          <w:szCs w:val="24"/>
          <w:lang w:val="fr-CA"/>
        </w:rPr>
        <w:t>sui generis</w:t>
      </w:r>
      <w:r w:rsidR="00B06523" w:rsidRPr="001B354F">
        <w:rPr>
          <w:szCs w:val="24"/>
          <w:lang w:val="fr-CA"/>
        </w:rPr>
        <w:t xml:space="preserve">, comme un droit garanti par l’art. 35. En conséquence, </w:t>
      </w:r>
      <w:r w:rsidR="001B354F" w:rsidRPr="001B354F">
        <w:rPr>
          <w:szCs w:val="24"/>
          <w:lang w:val="fr-CA"/>
        </w:rPr>
        <w:t>l</w:t>
      </w:r>
      <w:r w:rsidR="00B06523" w:rsidRPr="001B354F">
        <w:rPr>
          <w:szCs w:val="24"/>
          <w:lang w:val="fr-CA"/>
        </w:rPr>
        <w:t>’art</w:t>
      </w:r>
      <w:r w:rsidR="00A17B5B">
        <w:rPr>
          <w:szCs w:val="24"/>
          <w:lang w:val="fr-CA"/>
        </w:rPr>
        <w:t>.</w:t>
      </w:r>
      <w:r w:rsidR="00B06523" w:rsidRPr="001B354F">
        <w:rPr>
          <w:szCs w:val="24"/>
          <w:lang w:val="fr-CA"/>
        </w:rPr>
        <w:t xml:space="preserve"> 3134 </w:t>
      </w:r>
      <w:r w:rsidR="001B354F" w:rsidRPr="001B354F">
        <w:rPr>
          <w:szCs w:val="24"/>
          <w:lang w:val="fr-CA"/>
        </w:rPr>
        <w:t xml:space="preserve">— qui </w:t>
      </w:r>
      <w:r w:rsidR="00B06523" w:rsidRPr="001B354F">
        <w:rPr>
          <w:szCs w:val="24"/>
          <w:lang w:val="fr-CA"/>
        </w:rPr>
        <w:t>dispose que, « [e]n l’absence de disposition particulière, les autorités du Québec sont compétentes lorsque le défendeur a son domicile au Québec »</w:t>
      </w:r>
      <w:r w:rsidR="001B354F" w:rsidRPr="001B354F">
        <w:rPr>
          <w:szCs w:val="24"/>
          <w:lang w:val="fr-CA"/>
        </w:rPr>
        <w:t xml:space="preserve"> </w:t>
      </w:r>
      <w:r w:rsidR="008D491D">
        <w:rPr>
          <w:szCs w:val="24"/>
          <w:lang w:val="fr-CA"/>
        </w:rPr>
        <w:t>— s’applique. Comme les compagnies</w:t>
      </w:r>
      <w:r w:rsidR="001B354F" w:rsidRPr="001B354F">
        <w:rPr>
          <w:szCs w:val="24"/>
          <w:lang w:val="fr-CA"/>
        </w:rPr>
        <w:t xml:space="preserve"> minières ont toutes les deux leur siège à Montréal, les autorités québ</w:t>
      </w:r>
      <w:r w:rsidR="00A17B5B">
        <w:rPr>
          <w:szCs w:val="24"/>
          <w:lang w:val="fr-CA"/>
        </w:rPr>
        <w:t>é</w:t>
      </w:r>
      <w:r w:rsidR="001B354F" w:rsidRPr="001B354F">
        <w:rPr>
          <w:szCs w:val="24"/>
          <w:lang w:val="fr-CA"/>
        </w:rPr>
        <w:t xml:space="preserve">coises ont compétence à l’égard des deux aspects de cette action mixte non classique en vertu </w:t>
      </w:r>
      <w:proofErr w:type="gramStart"/>
      <w:r w:rsidR="001B354F" w:rsidRPr="001B354F">
        <w:rPr>
          <w:szCs w:val="24"/>
          <w:lang w:val="fr-CA"/>
        </w:rPr>
        <w:t>des art</w:t>
      </w:r>
      <w:proofErr w:type="gramEnd"/>
      <w:r w:rsidR="001B354F" w:rsidRPr="001B354F">
        <w:rPr>
          <w:szCs w:val="24"/>
          <w:lang w:val="fr-CA"/>
        </w:rPr>
        <w:t xml:space="preserve">. 3134 et 3148 du </w:t>
      </w:r>
      <w:r w:rsidR="001B354F" w:rsidRPr="001B354F">
        <w:rPr>
          <w:i/>
          <w:szCs w:val="24"/>
          <w:lang w:val="fr-CA"/>
        </w:rPr>
        <w:t>C.c.Q.</w:t>
      </w:r>
      <w:r w:rsidR="001B354F" w:rsidRPr="001B354F">
        <w:rPr>
          <w:szCs w:val="24"/>
          <w:lang w:val="fr-CA"/>
        </w:rPr>
        <w:t xml:space="preserve">, qui </w:t>
      </w:r>
      <w:proofErr w:type="gramStart"/>
      <w:r w:rsidR="001B354F" w:rsidRPr="001B354F">
        <w:rPr>
          <w:szCs w:val="24"/>
          <w:lang w:val="fr-CA"/>
        </w:rPr>
        <w:t>suffisent</w:t>
      </w:r>
      <w:proofErr w:type="gramEnd"/>
      <w:r w:rsidR="001B354F" w:rsidRPr="001B354F">
        <w:rPr>
          <w:szCs w:val="24"/>
          <w:lang w:val="fr-CA"/>
        </w:rPr>
        <w:t xml:space="preserve"> pour établir cette compétence.</w:t>
      </w:r>
    </w:p>
    <w:p w:rsidR="00F731C9" w:rsidRPr="006445CF" w:rsidRDefault="00A71E89" w:rsidP="003B6412">
      <w:pPr>
        <w:pStyle w:val="SCCNormalDoubleSpacing"/>
        <w:spacing w:after="480"/>
        <w:rPr>
          <w:lang w:val="fr-CA"/>
        </w:rPr>
      </w:pPr>
      <w:r w:rsidRPr="00245909">
        <w:rPr>
          <w:lang w:val="fr-CA"/>
        </w:rPr>
        <w:tab/>
      </w:r>
      <w:r w:rsidR="00F731C9" w:rsidRPr="006445CF">
        <w:rPr>
          <w:i/>
          <w:iCs/>
          <w:lang w:val="fr-CA"/>
        </w:rPr>
        <w:t xml:space="preserve">Les </w:t>
      </w:r>
      <w:r w:rsidR="00F731C9" w:rsidRPr="006445CF">
        <w:rPr>
          <w:lang w:val="fr-CA"/>
        </w:rPr>
        <w:t xml:space="preserve">juges Moldaver, </w:t>
      </w:r>
      <w:r w:rsidR="00F731C9" w:rsidRPr="006445CF">
        <w:rPr>
          <w:bCs/>
          <w:lang w:val="fr-CA"/>
        </w:rPr>
        <w:t xml:space="preserve">Côté, </w:t>
      </w:r>
      <w:r w:rsidR="00F731C9" w:rsidRPr="004F641A">
        <w:rPr>
          <w:bCs/>
          <w:lang w:val="fr-CA"/>
        </w:rPr>
        <w:t>Brown</w:t>
      </w:r>
      <w:r w:rsidR="00F731C9" w:rsidRPr="004F641A">
        <w:rPr>
          <w:lang w:val="fr-CA"/>
        </w:rPr>
        <w:t xml:space="preserve"> et Rowe</w:t>
      </w:r>
      <w:r w:rsidR="00F731C9" w:rsidRPr="006445CF">
        <w:rPr>
          <w:lang w:val="fr-CA"/>
        </w:rPr>
        <w:t xml:space="preserve"> (dissidents) : Il y aurait lieu d’accueillir l’appel, d’infirmer les jugements de la Cour supérieure et de la Cour d’appel, d’accueillir en partie la requête en radiation d’allégation</w:t>
      </w:r>
      <w:r w:rsidR="003B6412">
        <w:rPr>
          <w:lang w:val="fr-CA"/>
        </w:rPr>
        <w:t>s du procureur général de Terre</w:t>
      </w:r>
      <w:r w:rsidR="003B6412">
        <w:rPr>
          <w:lang w:val="fr-CA"/>
        </w:rPr>
        <w:noBreakHyphen/>
        <w:t>Neuve</w:t>
      </w:r>
      <w:r w:rsidR="003B6412">
        <w:rPr>
          <w:lang w:val="fr-CA"/>
        </w:rPr>
        <w:noBreakHyphen/>
        <w:t>et</w:t>
      </w:r>
      <w:r w:rsidR="003B6412">
        <w:rPr>
          <w:lang w:val="fr-CA"/>
        </w:rPr>
        <w:noBreakHyphen/>
      </w:r>
      <w:r w:rsidR="00F731C9" w:rsidRPr="006445CF">
        <w:rPr>
          <w:lang w:val="fr-CA"/>
        </w:rPr>
        <w:t>Labrador et d’ordonner que les conclusions de la requête introductive d’instance des Innus qui sont de nature déclaratoire ou</w:t>
      </w:r>
      <w:r w:rsidR="00345C1A">
        <w:rPr>
          <w:lang w:val="fr-CA"/>
        </w:rPr>
        <w:t xml:space="preserve"> injonctive et qui visent leur </w:t>
      </w:r>
      <w:r w:rsidR="00F731C9" w:rsidRPr="006445CF">
        <w:rPr>
          <w:lang w:val="fr-CA"/>
        </w:rPr>
        <w:t>territoire ancestral ou le mégaprojet soient modifiées afin qu’elles se limitent à des faits, activités ou droits situés à l’intérieur des limites territoriales du Québec.</w:t>
      </w:r>
      <w:r w:rsidR="00C70E7E">
        <w:rPr>
          <w:lang w:val="fr-CA"/>
        </w:rPr>
        <w:t xml:space="preserve"> </w:t>
      </w:r>
      <w:r w:rsidR="00F731C9" w:rsidRPr="006445CF">
        <w:rPr>
          <w:lang w:val="fr-CA"/>
        </w:rPr>
        <w:t xml:space="preserve">Les droits ancestraux existent dans les limites du système juridique canadien et leur revendication devant les tribunaux ne doit pas faire entorse à l’organisation juridique et constitutionnelle du Canada. Reconnaître à la Cour supérieure du Québec la compétence de rendre un jugement déclarant l’existence de droits ancestraux sur la </w:t>
      </w:r>
      <w:r w:rsidR="00345C1A">
        <w:rPr>
          <w:lang w:val="fr-CA"/>
        </w:rPr>
        <w:t>partie du territoire ancestral</w:t>
      </w:r>
      <w:r w:rsidR="00F731C9" w:rsidRPr="006445CF">
        <w:rPr>
          <w:lang w:val="fr-CA"/>
        </w:rPr>
        <w:t xml:space="preserve"> située dans la province de Terre</w:t>
      </w:r>
      <w:r w:rsidR="00F731C9" w:rsidRPr="006445CF">
        <w:rPr>
          <w:lang w:val="fr-CA"/>
        </w:rPr>
        <w:noBreakHyphen/>
        <w:t>Neuve</w:t>
      </w:r>
      <w:r w:rsidR="00F731C9" w:rsidRPr="006445CF">
        <w:rPr>
          <w:lang w:val="fr-CA"/>
        </w:rPr>
        <w:noBreakHyphen/>
        <w:t>et</w:t>
      </w:r>
      <w:r w:rsidR="00F731C9" w:rsidRPr="006445CF">
        <w:rPr>
          <w:lang w:val="fr-CA"/>
        </w:rPr>
        <w:noBreakHyphen/>
        <w:t xml:space="preserve">Labrador aurait d’importantes conséquences sur le fédéralisme canadien. Loin de promouvoir l’accès à la justice ou la réconciliation avec les peuples autochtones, il en résulterait une </w:t>
      </w:r>
      <w:r w:rsidR="00F731C9" w:rsidRPr="006445CF">
        <w:rPr>
          <w:lang w:val="fr-CA"/>
        </w:rPr>
        <w:lastRenderedPageBreak/>
        <w:t>multiplication des litiges et des délais ainsi qu’une confusion et une perte de confiance envers notre système de justice.</w:t>
      </w:r>
    </w:p>
    <w:p w:rsidR="00F731C9" w:rsidRPr="006445CF" w:rsidRDefault="00F731C9" w:rsidP="003B6412">
      <w:pPr>
        <w:pStyle w:val="SCCNormalDoubleSpacing"/>
        <w:spacing w:after="480"/>
        <w:rPr>
          <w:lang w:val="fr-CA"/>
        </w:rPr>
      </w:pPr>
      <w:r w:rsidRPr="006445CF">
        <w:rPr>
          <w:lang w:val="fr-CA"/>
        </w:rPr>
        <w:tab/>
        <w:t xml:space="preserve">La compétence des cours supérieures provinciales est d’abord régie par les règles du droit international privé, lesquelles se trouvent au Québec dans le </w:t>
      </w:r>
      <w:r w:rsidRPr="006445CF">
        <w:rPr>
          <w:i/>
          <w:lang w:val="fr-CA"/>
        </w:rPr>
        <w:t>C.c.Q.</w:t>
      </w:r>
      <w:r w:rsidRPr="006445CF">
        <w:rPr>
          <w:lang w:val="fr-CA"/>
        </w:rPr>
        <w:t xml:space="preserve"> Ce sont ces règles qui autorisent parfois les cours supérieures provinciales à exercer leurs pouvoirs à l’égard de personnes ou de biens qui ne sont pas situés à l’intérieur des limites territoriales de la province. On ne peut donc les écarter pour ne s’en remettre qu’à une compétence inhérente qui ne peut, en principe, s’exercer que sur le territoire de la province. Les règles du droit international privé sont d’une nature différente, législative, et sont autorisatrices. Elles peuvent à elles seules autoriser l’exercice extraterritorial d’un pouvoir qui, autrement, e</w:t>
      </w:r>
      <w:r w:rsidR="003B6412">
        <w:rPr>
          <w:lang w:val="fr-CA"/>
        </w:rPr>
        <w:t>st limité à un seul territoire.</w:t>
      </w:r>
    </w:p>
    <w:p w:rsidR="00F731C9" w:rsidRPr="006445CF" w:rsidRDefault="00F731C9" w:rsidP="003B6412">
      <w:pPr>
        <w:pStyle w:val="SCCNormalDoubleSpacing"/>
        <w:spacing w:after="480"/>
        <w:rPr>
          <w:lang w:val="fr-CA"/>
        </w:rPr>
      </w:pPr>
      <w:r w:rsidRPr="006445CF">
        <w:rPr>
          <w:lang w:val="fr-CA"/>
        </w:rPr>
        <w:tab/>
        <w:t>Les règles du dr</w:t>
      </w:r>
      <w:r w:rsidR="00345C1A">
        <w:rPr>
          <w:lang w:val="fr-CA"/>
        </w:rPr>
        <w:t>oit international privé doivent toutefois</w:t>
      </w:r>
      <w:r w:rsidRPr="006445CF">
        <w:rPr>
          <w:lang w:val="fr-CA"/>
        </w:rPr>
        <w:t xml:space="preserve"> respecter elles</w:t>
      </w:r>
      <w:r w:rsidRPr="006445CF">
        <w:rPr>
          <w:lang w:val="fr-CA"/>
        </w:rPr>
        <w:noBreakHyphen/>
        <w:t xml:space="preserve">mêmes les limites territoriales prévues </w:t>
      </w:r>
      <w:r w:rsidR="002473B6">
        <w:rPr>
          <w:lang w:val="fr-CA"/>
        </w:rPr>
        <w:t xml:space="preserve">par la Constitution. </w:t>
      </w:r>
      <w:r w:rsidR="00345C1A">
        <w:rPr>
          <w:lang w:val="fr-CA"/>
        </w:rPr>
        <w:t>Elles</w:t>
      </w:r>
      <w:r w:rsidRPr="006445CF">
        <w:rPr>
          <w:lang w:val="fr-CA"/>
        </w:rPr>
        <w:t xml:space="preserve"> peuvent donc ensuite devoir être assujetties à un contrôle constitutionnel au regard de ces limites. </w:t>
      </w:r>
      <w:r w:rsidR="00345C1A">
        <w:rPr>
          <w:lang w:val="fr-CA"/>
        </w:rPr>
        <w:t>Le</w:t>
      </w:r>
      <w:r w:rsidRPr="006445CF">
        <w:rPr>
          <w:lang w:val="fr-CA"/>
        </w:rPr>
        <w:t xml:space="preserve"> cadre constitutionnel canadien limite la portée extraterritoriale des lois provinciales et des tribunaux provinciaux. Comme la Cour l’a déjà reconnu, la Constitution attribue des pouvoirs aux provinces, mais elle n’en autorise l’exercice que sur leur territoire. Ces restrictions territoriales prévues par la Constitution sont inhéren</w:t>
      </w:r>
      <w:r w:rsidR="003B6412">
        <w:rPr>
          <w:lang w:val="fr-CA"/>
        </w:rPr>
        <w:t>tes à la fédération canadienne.</w:t>
      </w:r>
    </w:p>
    <w:p w:rsidR="00F731C9" w:rsidRPr="006445CF" w:rsidRDefault="00F731C9" w:rsidP="003B6412">
      <w:pPr>
        <w:pStyle w:val="SCCNormalDoubleSpacing"/>
        <w:spacing w:after="480"/>
        <w:rPr>
          <w:lang w:val="fr-CA"/>
        </w:rPr>
      </w:pPr>
      <w:r w:rsidRPr="006445CF">
        <w:rPr>
          <w:lang w:val="fr-CA"/>
        </w:rPr>
        <w:tab/>
        <w:t>Le critère général de compétence en droit international privé est le domicile du défe</w:t>
      </w:r>
      <w:r w:rsidR="003B6412">
        <w:rPr>
          <w:lang w:val="fr-CA"/>
        </w:rPr>
        <w:t xml:space="preserve">ndeur, </w:t>
      </w:r>
      <w:r w:rsidR="00345C1A">
        <w:rPr>
          <w:lang w:val="fr-CA"/>
        </w:rPr>
        <w:t>tel qu’énoncé à l’</w:t>
      </w:r>
      <w:r w:rsidR="003B6412">
        <w:rPr>
          <w:lang w:val="fr-CA"/>
        </w:rPr>
        <w:t>art. </w:t>
      </w:r>
      <w:r w:rsidRPr="006445CF">
        <w:rPr>
          <w:lang w:val="fr-CA"/>
        </w:rPr>
        <w:t xml:space="preserve">3134 </w:t>
      </w:r>
      <w:r w:rsidRPr="006445CF">
        <w:rPr>
          <w:i/>
          <w:lang w:val="fr-CA"/>
        </w:rPr>
        <w:t>C.c.Q.</w:t>
      </w:r>
      <w:r w:rsidRPr="006445CF">
        <w:rPr>
          <w:lang w:val="fr-CA"/>
        </w:rPr>
        <w:t xml:space="preserve"> Or, comme le prévoit expressément cette disposition, la règle générale qu’elle énonce a un caractère subsidiaire : elle </w:t>
      </w:r>
      <w:r w:rsidRPr="006445CF">
        <w:rPr>
          <w:lang w:val="fr-CA"/>
        </w:rPr>
        <w:lastRenderedPageBreak/>
        <w:t xml:space="preserve">s’applique seulement « [e]n l’absence de disposition particulière ». Les dispositions particulières prévues par le </w:t>
      </w:r>
      <w:r w:rsidRPr="006445CF">
        <w:rPr>
          <w:i/>
          <w:lang w:val="fr-CA"/>
        </w:rPr>
        <w:t>C.c.Q.</w:t>
      </w:r>
      <w:r w:rsidRPr="006445CF">
        <w:rPr>
          <w:lang w:val="fr-CA"/>
        </w:rPr>
        <w:t xml:space="preserve"> et qui écartent cette règle subsidiaire régissent la compétence internationale des autorités québécoises selon qu’il est question d’une action personnelle à caractère extrapatrimonial et familial (art. 3141 à 3147 </w:t>
      </w:r>
      <w:r w:rsidRPr="006445CF">
        <w:rPr>
          <w:i/>
          <w:lang w:val="fr-CA"/>
        </w:rPr>
        <w:t>C.c.Q.</w:t>
      </w:r>
      <w:r w:rsidRPr="006445CF">
        <w:rPr>
          <w:lang w:val="fr-CA"/>
        </w:rPr>
        <w:t xml:space="preserve">), d’une action personnelle à caractère patrimonial (art. 3148 à 3151 </w:t>
      </w:r>
      <w:r w:rsidRPr="006445CF">
        <w:rPr>
          <w:i/>
          <w:lang w:val="fr-CA"/>
        </w:rPr>
        <w:t>C.c.Q.</w:t>
      </w:r>
      <w:r w:rsidRPr="006445CF">
        <w:rPr>
          <w:lang w:val="fr-CA"/>
        </w:rPr>
        <w:t xml:space="preserve">) ou d’une action réelle ou mixte (art. 3152 à 3154 </w:t>
      </w:r>
      <w:r w:rsidRPr="006445CF">
        <w:rPr>
          <w:i/>
          <w:lang w:val="fr-CA"/>
        </w:rPr>
        <w:t>C.c.Q.</w:t>
      </w:r>
      <w:r w:rsidR="003B6412">
        <w:rPr>
          <w:lang w:val="fr-CA"/>
        </w:rPr>
        <w:t>).</w:t>
      </w:r>
    </w:p>
    <w:p w:rsidR="00F731C9" w:rsidRPr="006445CF" w:rsidRDefault="00345C1A" w:rsidP="003B6412">
      <w:pPr>
        <w:pStyle w:val="SCCNormalDoubleSpacing"/>
        <w:spacing w:after="480"/>
        <w:rPr>
          <w:lang w:val="fr-CA"/>
        </w:rPr>
      </w:pPr>
      <w:r>
        <w:rPr>
          <w:lang w:val="fr-CA"/>
        </w:rPr>
        <w:tab/>
      </w:r>
      <w:r w:rsidR="00F731C9" w:rsidRPr="006445CF">
        <w:rPr>
          <w:lang w:val="fr-CA"/>
        </w:rPr>
        <w:t>Ainsi, pour déterminer la compétence internationale des autorités qué</w:t>
      </w:r>
      <w:r>
        <w:rPr>
          <w:lang w:val="fr-CA"/>
        </w:rPr>
        <w:t>bécoises dans une affaire</w:t>
      </w:r>
      <w:r w:rsidR="00F731C9" w:rsidRPr="006445CF">
        <w:rPr>
          <w:lang w:val="fr-CA"/>
        </w:rPr>
        <w:t xml:space="preserve">, il incombe de qualifier l’action en cause. L’interprétation du droit international privé doit être effectuée en fonction de la </w:t>
      </w:r>
      <w:r w:rsidR="00F731C9" w:rsidRPr="006445CF">
        <w:rPr>
          <w:i/>
          <w:lang w:val="fr-CA"/>
        </w:rPr>
        <w:t xml:space="preserve">lex fori </w:t>
      </w:r>
      <w:r w:rsidR="00F731C9" w:rsidRPr="006445CF">
        <w:rPr>
          <w:lang w:val="fr-CA"/>
        </w:rPr>
        <w:t xml:space="preserve">puisqu’il faut favoriser l’application de principe des qualifications du droit civil interne en </w:t>
      </w:r>
      <w:r>
        <w:rPr>
          <w:lang w:val="fr-CA"/>
        </w:rPr>
        <w:t xml:space="preserve">droit international privé. </w:t>
      </w:r>
      <w:r w:rsidR="00F731C9" w:rsidRPr="006445CF">
        <w:rPr>
          <w:lang w:val="fr-CA"/>
        </w:rPr>
        <w:t xml:space="preserve">Ainsi, les notions d’action personnelle, d’action réelle et d’action mixte auxquelles renvoient les dispositions particulières du titre troisième du Livre dixième du </w:t>
      </w:r>
      <w:r w:rsidR="00F731C9" w:rsidRPr="006445CF">
        <w:rPr>
          <w:i/>
          <w:lang w:val="fr-CA"/>
        </w:rPr>
        <w:t>C.c.Q.</w:t>
      </w:r>
      <w:r w:rsidR="00F731C9" w:rsidRPr="006445CF">
        <w:rPr>
          <w:lang w:val="fr-CA"/>
        </w:rPr>
        <w:t xml:space="preserve"> doivent être définies en fonction du droit québécois. Puisqu’il est de la nature du droit international privé d’être confronté à des institutions q</w:t>
      </w:r>
      <w:r>
        <w:rPr>
          <w:lang w:val="fr-CA"/>
        </w:rPr>
        <w:t>ui lui sont étrangères, s</w:t>
      </w:r>
      <w:r w:rsidR="00F731C9" w:rsidRPr="006445CF">
        <w:rPr>
          <w:lang w:val="fr-CA"/>
        </w:rPr>
        <w:t>es règles doivent être envisagées avec une certaine souplesse, de manière à inclure des institutions qui, quoique juridiquement distinctes, demeurent analogues aux catégories reconnues par le droit civil.</w:t>
      </w:r>
    </w:p>
    <w:p w:rsidR="00F731C9" w:rsidRPr="006445CF" w:rsidRDefault="00F731C9" w:rsidP="003B6412">
      <w:pPr>
        <w:pStyle w:val="SCCNormalDoubleSpacing"/>
        <w:spacing w:after="480"/>
        <w:rPr>
          <w:lang w:val="fr-CA"/>
        </w:rPr>
      </w:pPr>
      <w:r w:rsidRPr="006445CF">
        <w:rPr>
          <w:lang w:val="fr-CA"/>
        </w:rPr>
        <w:tab/>
        <w:t>Le titre ancestral et les autres droits ancestraux ou issus de traités doivent manifestement être considérés comme constituant des « droits réels » aux fins du droit international privé. Plus précisément, ils ressemblent ou sont à tout le moins analogues à l’institutio</w:t>
      </w:r>
      <w:r w:rsidR="00345C1A">
        <w:rPr>
          <w:lang w:val="fr-CA"/>
        </w:rPr>
        <w:t xml:space="preserve">n interne des droits réels </w:t>
      </w:r>
      <w:r w:rsidRPr="006445CF">
        <w:rPr>
          <w:lang w:val="fr-CA"/>
        </w:rPr>
        <w:t xml:space="preserve">du fait qu’il s’agit de droits sur un bien, en l’occurrence les terres assujetties au titre ancestral, et qu’il s’agit de droits opposables </w:t>
      </w:r>
      <w:r w:rsidRPr="006445CF">
        <w:rPr>
          <w:i/>
          <w:lang w:val="fr-CA"/>
        </w:rPr>
        <w:t>erga omnes</w:t>
      </w:r>
      <w:r w:rsidR="003B6412">
        <w:rPr>
          <w:lang w:val="fr-CA"/>
        </w:rPr>
        <w:t>, c’est</w:t>
      </w:r>
      <w:r w:rsidR="003B6412">
        <w:rPr>
          <w:lang w:val="fr-CA"/>
        </w:rPr>
        <w:noBreakHyphen/>
        <w:t>à</w:t>
      </w:r>
      <w:r w:rsidR="003B6412">
        <w:rPr>
          <w:lang w:val="fr-CA"/>
        </w:rPr>
        <w:noBreakHyphen/>
      </w:r>
      <w:r w:rsidRPr="006445CF">
        <w:rPr>
          <w:lang w:val="fr-CA"/>
        </w:rPr>
        <w:t xml:space="preserve">dire opposables aux gouvernements et aux autres personnes qui </w:t>
      </w:r>
      <w:r w:rsidRPr="006445CF">
        <w:rPr>
          <w:lang w:val="fr-CA"/>
        </w:rPr>
        <w:lastRenderedPageBreak/>
        <w:t xml:space="preserve">veulent utiliser les terres. Le titre ancestral confère le droit de déterminer l’utilisation des terres, le droit de jouissance et d’occupation des terres, le droit de posséder les terres, le droit aux avantages économiques que procurent les terres et le droit d’utiliser et de gérer les terres de manière proactive. Le caractère </w:t>
      </w:r>
      <w:r w:rsidRPr="006445CF">
        <w:rPr>
          <w:i/>
          <w:lang w:val="fr-CA"/>
        </w:rPr>
        <w:t>sui generis</w:t>
      </w:r>
      <w:r w:rsidR="00345C1A">
        <w:rPr>
          <w:lang w:val="fr-CA"/>
        </w:rPr>
        <w:t xml:space="preserve"> </w:t>
      </w:r>
      <w:r w:rsidRPr="006445CF">
        <w:rPr>
          <w:lang w:val="fr-CA"/>
        </w:rPr>
        <w:t>du titre ancestral et de</w:t>
      </w:r>
      <w:r w:rsidR="00345C1A">
        <w:rPr>
          <w:lang w:val="fr-CA"/>
        </w:rPr>
        <w:t>s</w:t>
      </w:r>
      <w:r w:rsidRPr="006445CF">
        <w:rPr>
          <w:lang w:val="fr-CA"/>
        </w:rPr>
        <w:t xml:space="preserve"> droits ancestraux ou issus de traités</w:t>
      </w:r>
      <w:r w:rsidR="00345C1A">
        <w:rPr>
          <w:lang w:val="fr-CA"/>
        </w:rPr>
        <w:t xml:space="preserve"> </w:t>
      </w:r>
      <w:r w:rsidRPr="006445CF">
        <w:rPr>
          <w:lang w:val="fr-CA"/>
        </w:rPr>
        <w:t>n’empêche pas de c</w:t>
      </w:r>
      <w:r w:rsidR="00345C1A">
        <w:rPr>
          <w:lang w:val="fr-CA"/>
        </w:rPr>
        <w:t>onclure qu’il s’agit de droit</w:t>
      </w:r>
      <w:r w:rsidRPr="006445CF">
        <w:rPr>
          <w:lang w:val="fr-CA"/>
        </w:rPr>
        <w:t>s réels</w:t>
      </w:r>
      <w:r w:rsidR="00345C1A">
        <w:rPr>
          <w:lang w:val="fr-CA"/>
        </w:rPr>
        <w:t xml:space="preserve"> </w:t>
      </w:r>
      <w:r w:rsidRPr="006445CF">
        <w:rPr>
          <w:lang w:val="fr-CA"/>
        </w:rPr>
        <w:t xml:space="preserve">pour les fins du droit international privé — ce caractère se rapporte à </w:t>
      </w:r>
      <w:r w:rsidR="00345C1A">
        <w:rPr>
          <w:lang w:val="fr-CA"/>
        </w:rPr>
        <w:t>leur</w:t>
      </w:r>
      <w:r w:rsidRPr="006445CF">
        <w:rPr>
          <w:lang w:val="fr-CA"/>
        </w:rPr>
        <w:t xml:space="preserve"> origine, co</w:t>
      </w:r>
      <w:r w:rsidR="00345C1A">
        <w:rPr>
          <w:lang w:val="fr-CA"/>
        </w:rPr>
        <w:t>ntenu et caractéristiques, qui</w:t>
      </w:r>
      <w:r w:rsidRPr="006445CF">
        <w:rPr>
          <w:lang w:val="fr-CA"/>
        </w:rPr>
        <w:t xml:space="preserve"> ne peuvent tout simplement pas être entièrement expliqués en fonction des règles du droit des biens en common law ou en droit civil.</w:t>
      </w:r>
    </w:p>
    <w:p w:rsidR="00F731C9" w:rsidRPr="006445CF" w:rsidRDefault="00345C1A" w:rsidP="003B6412">
      <w:pPr>
        <w:pStyle w:val="SCCNormalDoubleSpacing"/>
        <w:tabs>
          <w:tab w:val="clear" w:pos="1168"/>
          <w:tab w:val="left" w:pos="1170"/>
        </w:tabs>
        <w:spacing w:after="480"/>
        <w:rPr>
          <w:lang w:val="fr-CA"/>
        </w:rPr>
      </w:pPr>
      <w:r>
        <w:rPr>
          <w:lang w:val="fr-CA"/>
        </w:rPr>
        <w:tab/>
        <w:t>L’action réelle est</w:t>
      </w:r>
      <w:r w:rsidR="00F731C9" w:rsidRPr="006445CF">
        <w:rPr>
          <w:lang w:val="fr-CA"/>
        </w:rPr>
        <w:t xml:space="preserve"> une action par laquelle une personne demande la reconnaissance ou la protection d’un droit réel. Puisque le titre ancestral et les autres droits ancestraux ou issus de traités sont des droits réels aux fins du droit international privé, il s’ensuit</w:t>
      </w:r>
      <w:r>
        <w:rPr>
          <w:lang w:val="fr-CA"/>
        </w:rPr>
        <w:t xml:space="preserve"> nécessairement qu’en l’espèce</w:t>
      </w:r>
      <w:r w:rsidR="00F731C9" w:rsidRPr="006445CF">
        <w:rPr>
          <w:lang w:val="fr-CA"/>
        </w:rPr>
        <w:t xml:space="preserve">, le volet de l’action des Innus qui vise à faire reconnaître et à protéger de tels droits serait une action réelle ou, au mieux, une action mixte visée par la section III du chapitre deuxième du titre troisième du Livre dixième du </w:t>
      </w:r>
      <w:r w:rsidR="00F731C9" w:rsidRPr="006445CF">
        <w:rPr>
          <w:i/>
          <w:lang w:val="fr-CA"/>
        </w:rPr>
        <w:t>C.c.Q.</w:t>
      </w:r>
    </w:p>
    <w:p w:rsidR="00F731C9" w:rsidRPr="006445CF" w:rsidRDefault="00345C1A" w:rsidP="00F731C9">
      <w:pPr>
        <w:pStyle w:val="SCCNormalDoubleSpacing"/>
        <w:spacing w:after="480"/>
        <w:rPr>
          <w:lang w:val="fr-CA"/>
        </w:rPr>
      </w:pPr>
      <w:r>
        <w:rPr>
          <w:lang w:val="fr-CA"/>
        </w:rPr>
        <w:tab/>
      </w:r>
      <w:r w:rsidR="00F731C9" w:rsidRPr="006445CF">
        <w:rPr>
          <w:lang w:val="fr-CA"/>
        </w:rPr>
        <w:t xml:space="preserve">Selon une jurisprudence bien établie, les autorités québécoises sont incompétentes pour connaître d’une action réelle si le bien en litige est situé à l’extérieur du Québec. L’article 3152 </w:t>
      </w:r>
      <w:r w:rsidR="00F731C9" w:rsidRPr="006445CF">
        <w:rPr>
          <w:i/>
          <w:lang w:val="fr-CA"/>
        </w:rPr>
        <w:t>C.c.Q.</w:t>
      </w:r>
      <w:r w:rsidR="00F731C9" w:rsidRPr="006445CF">
        <w:rPr>
          <w:lang w:val="fr-CA"/>
        </w:rPr>
        <w:t xml:space="preserve"> doit être interprété en suivant la méthode moderne d’interprétation des lois, qui s’applique à l’interprétation d’un article du </w:t>
      </w:r>
      <w:r w:rsidR="00F731C9" w:rsidRPr="006445CF">
        <w:rPr>
          <w:i/>
          <w:lang w:val="fr-CA"/>
        </w:rPr>
        <w:t>C.c.Q.</w:t>
      </w:r>
      <w:r w:rsidR="00F32786">
        <w:rPr>
          <w:lang w:val="fr-CA"/>
        </w:rPr>
        <w:t>, soit</w:t>
      </w:r>
      <w:r w:rsidR="00F731C9" w:rsidRPr="006445CF">
        <w:rPr>
          <w:lang w:val="fr-CA"/>
        </w:rPr>
        <w:t xml:space="preserve"> à la lumière des principes de courtoisie, d’ordre et d’équité qui servent de guide à l’interprétation des différentes règles de droit international privé. Cet article confirme un principe bien établi, à savoir l’incompétence des autorités québécoises en matière d’action réelle immobilière lorsque l’objet du litige est situé à l’extérieur du </w:t>
      </w:r>
      <w:r w:rsidR="00F731C9" w:rsidRPr="006445CF">
        <w:rPr>
          <w:lang w:val="fr-CA"/>
        </w:rPr>
        <w:lastRenderedPageBreak/>
        <w:t xml:space="preserve">Québec. Il étend également ce principe aux actions réelles mobilières — en matière d’action réelle, immobilière ou mobilière, les autorités québécoises sont incompétentes si l’objet du litige n’est pas situé au Québec. En particulier, le domicile du défendeur ne confère pas compétence aux autorités québécoises en matière d’action réelle — peu importe que l’objet du litige soit un immeuble ou un meuble, l’art. 3134 </w:t>
      </w:r>
      <w:r w:rsidR="00F731C9" w:rsidRPr="006445CF">
        <w:rPr>
          <w:i/>
          <w:lang w:val="fr-CA"/>
        </w:rPr>
        <w:t>C.c.Q.</w:t>
      </w:r>
      <w:r w:rsidR="00F731C9" w:rsidRPr="006445CF">
        <w:rPr>
          <w:lang w:val="fr-CA"/>
        </w:rPr>
        <w:t xml:space="preserve"> énonçant expressément que cette règle ne s’applique qu’en l’absence d’une disposition partic</w:t>
      </w:r>
      <w:r w:rsidR="003B6412">
        <w:rPr>
          <w:lang w:val="fr-CA"/>
        </w:rPr>
        <w:t>ulière. De plus, l’art. </w:t>
      </w:r>
      <w:r w:rsidR="00F731C9" w:rsidRPr="006445CF">
        <w:rPr>
          <w:lang w:val="fr-CA"/>
        </w:rPr>
        <w:t xml:space="preserve">3152 prévoit la compétence des autorités québécoises lorsque le bien en litige se situe à l’intérieur du Québec, et non lorsqu’il est situé en tout ou en partie au Québec. L’interpréter autrement reviendrait à récrire cette disposition en y ajoutant les termes « en tout ou en partie ». Enfin, pour que les autorités québécoises aient compétence sur une action mixte, il est nécessaire que le bien en litige soit situé entièrement au Québec, car autrement elles n’auront pas compétence sur l’aspect réel du litige. La compétence sur l’aspect personnel du litige fondée, par exemple, sur le domicile du défendeur ne suffit donc pas en matière d’action mixte — il faut de plus que le bien en litige soit situé </w:t>
      </w:r>
      <w:r w:rsidR="003B6412">
        <w:rPr>
          <w:lang w:val="fr-CA"/>
        </w:rPr>
        <w:t>au Québec, comme l’exige l’art. </w:t>
      </w:r>
      <w:r w:rsidR="00F731C9" w:rsidRPr="006445CF">
        <w:rPr>
          <w:lang w:val="fr-CA"/>
        </w:rPr>
        <w:t>3152.</w:t>
      </w:r>
    </w:p>
    <w:p w:rsidR="00F731C9" w:rsidRPr="006445CF" w:rsidRDefault="00F731C9" w:rsidP="003B6412">
      <w:pPr>
        <w:pStyle w:val="SCCNormalDoubleSpacing"/>
        <w:tabs>
          <w:tab w:val="left" w:pos="5940"/>
        </w:tabs>
        <w:spacing w:after="480"/>
        <w:rPr>
          <w:lang w:val="fr-CA"/>
        </w:rPr>
      </w:pPr>
      <w:r w:rsidRPr="006445CF">
        <w:rPr>
          <w:lang w:val="fr-CA"/>
        </w:rPr>
        <w:tab/>
        <w:t xml:space="preserve">Il y a désaccord en l’espèce avec la majorité quant à la qualification de l’action des Innus comme étant une action mixte « non classique » comprenant un volet personnel ainsi qu’un volet </w:t>
      </w:r>
      <w:r w:rsidRPr="006445CF">
        <w:rPr>
          <w:i/>
          <w:lang w:val="fr-CA"/>
        </w:rPr>
        <w:t>sui generis</w:t>
      </w:r>
      <w:r w:rsidRPr="006445CF">
        <w:rPr>
          <w:lang w:val="fr-CA"/>
        </w:rPr>
        <w:t xml:space="preserve"> et quant à ses conclusions, voulant que l’art. 3134 </w:t>
      </w:r>
      <w:r w:rsidRPr="006445CF">
        <w:rPr>
          <w:i/>
          <w:lang w:val="fr-CA"/>
        </w:rPr>
        <w:t xml:space="preserve">C.c.Q. </w:t>
      </w:r>
      <w:r w:rsidRPr="006445CF">
        <w:rPr>
          <w:lang w:val="fr-CA"/>
        </w:rPr>
        <w:t xml:space="preserve">s’applique en l’absence de dispositions visant spécifiquement les droits </w:t>
      </w:r>
      <w:r w:rsidRPr="006445CF">
        <w:rPr>
          <w:i/>
          <w:lang w:val="fr-CA"/>
        </w:rPr>
        <w:t>sui generis</w:t>
      </w:r>
      <w:r w:rsidRPr="006445CF">
        <w:rPr>
          <w:lang w:val="fr-CA"/>
        </w:rPr>
        <w:t xml:space="preserve">. Selon ces conclusions, les autorités québécoises ont compétence tant sur le volet personnel que sur le volet </w:t>
      </w:r>
      <w:r w:rsidRPr="006445CF">
        <w:rPr>
          <w:i/>
          <w:lang w:val="fr-CA"/>
        </w:rPr>
        <w:t>sui generis</w:t>
      </w:r>
      <w:r w:rsidRPr="006445CF">
        <w:rPr>
          <w:lang w:val="fr-CA"/>
        </w:rPr>
        <w:t xml:space="preserve"> de l’action puisque les entreprises poursuivies ont leur domicile à Montréal. Les droits protégés par l’art. 35 de la </w:t>
      </w:r>
      <w:r w:rsidRPr="006445CF">
        <w:rPr>
          <w:i/>
          <w:lang w:val="fr-CA"/>
        </w:rPr>
        <w:t>Loi constitutionnelle de 1982</w:t>
      </w:r>
      <w:r w:rsidRPr="006445CF">
        <w:rPr>
          <w:lang w:val="fr-CA"/>
        </w:rPr>
        <w:t xml:space="preserve">, et notamment le titre ancestral qui accorde le droit d’utiliser et d’occuper de façon exclusive les terres détenues en vertu de ce titre pour diverses </w:t>
      </w:r>
      <w:r w:rsidRPr="006445CF">
        <w:rPr>
          <w:lang w:val="fr-CA"/>
        </w:rPr>
        <w:lastRenderedPageBreak/>
        <w:t>fins, sont un fardeau ou une charge qui s’impose en premier lieu sur le titre sous</w:t>
      </w:r>
      <w:r w:rsidRPr="006445CF">
        <w:rPr>
          <w:lang w:val="fr-CA"/>
        </w:rPr>
        <w:noBreakHyphen/>
        <w:t>jacent de la Couronne. Les caractéristiques du titre ancestral découlent de la relation particulière entre la Couronne et le groupe autochtone en question. C’est cette relat</w:t>
      </w:r>
      <w:r w:rsidR="00F32786">
        <w:rPr>
          <w:lang w:val="fr-CA"/>
        </w:rPr>
        <w:t xml:space="preserve">ion qui rend le titre ancestral </w:t>
      </w:r>
      <w:r w:rsidRPr="006445CF">
        <w:rPr>
          <w:i/>
          <w:iCs/>
          <w:lang w:val="fr-CA"/>
        </w:rPr>
        <w:t>sui generis</w:t>
      </w:r>
      <w:r w:rsidRPr="006445CF">
        <w:rPr>
          <w:lang w:val="fr-CA"/>
        </w:rPr>
        <w:t>,</w:t>
      </w:r>
      <w:r w:rsidR="00F32786">
        <w:rPr>
          <w:i/>
          <w:iCs/>
          <w:lang w:val="fr-CA"/>
        </w:rPr>
        <w:t xml:space="preserve"> </w:t>
      </w:r>
      <w:r w:rsidRPr="006445CF">
        <w:rPr>
          <w:lang w:val="fr-CA"/>
        </w:rPr>
        <w:t>ou unique. La Couronne est la principale défenderesse à l’action en reconnaissa</w:t>
      </w:r>
      <w:r w:rsidR="00F32786">
        <w:rPr>
          <w:lang w:val="fr-CA"/>
        </w:rPr>
        <w:t xml:space="preserve">nce d’un titre ancestral. </w:t>
      </w:r>
      <w:r w:rsidRPr="006445CF">
        <w:rPr>
          <w:lang w:val="fr-CA"/>
        </w:rPr>
        <w:t>Ainsi</w:t>
      </w:r>
      <w:r w:rsidR="00F32786">
        <w:rPr>
          <w:lang w:val="fr-CA"/>
        </w:rPr>
        <w:t>, la conclusion de la majorité</w:t>
      </w:r>
      <w:r w:rsidRPr="006445CF">
        <w:rPr>
          <w:lang w:val="fr-CA"/>
        </w:rPr>
        <w:t xml:space="preserve"> voulant que les défenderesses à l’action en reconnaissance de droits ancestraux soient les entreprises privées plutôt </w:t>
      </w:r>
      <w:r w:rsidR="00F32786">
        <w:rPr>
          <w:lang w:val="fr-CA"/>
        </w:rPr>
        <w:t>que la Couronne est grandement problématique et</w:t>
      </w:r>
      <w:r w:rsidRPr="006445CF">
        <w:rPr>
          <w:lang w:val="fr-CA"/>
        </w:rPr>
        <w:t xml:space="preserve"> dénature le caractère </w:t>
      </w:r>
      <w:r w:rsidRPr="006445CF">
        <w:rPr>
          <w:i/>
          <w:lang w:val="fr-CA"/>
        </w:rPr>
        <w:t>sui generis</w:t>
      </w:r>
      <w:r w:rsidR="003B6412">
        <w:rPr>
          <w:lang w:val="fr-CA"/>
        </w:rPr>
        <w:t xml:space="preserve"> des droits ancestraux.</w:t>
      </w:r>
    </w:p>
    <w:p w:rsidR="00F731C9" w:rsidRPr="006445CF" w:rsidRDefault="00F731C9" w:rsidP="003B6412">
      <w:pPr>
        <w:pStyle w:val="SCCNormalDoubleSpacing"/>
        <w:spacing w:after="480"/>
        <w:rPr>
          <w:lang w:val="fr-CA"/>
        </w:rPr>
      </w:pPr>
      <w:r w:rsidRPr="006445CF">
        <w:rPr>
          <w:lang w:val="fr-CA"/>
        </w:rPr>
        <w:tab/>
        <w:t>Il existe en droit international privé québécois un principe selon lequel</w:t>
      </w:r>
      <w:r w:rsidR="00F32786">
        <w:rPr>
          <w:lang w:val="fr-CA"/>
        </w:rPr>
        <w:t xml:space="preserve"> </w:t>
      </w:r>
      <w:r w:rsidRPr="006445CF">
        <w:rPr>
          <w:lang w:val="fr-CA"/>
        </w:rPr>
        <w:t>la compétence du tribunal québécois se détermine pour chaque demande en particulier. Il est donc nécessaire</w:t>
      </w:r>
      <w:r w:rsidR="00F32786">
        <w:rPr>
          <w:lang w:val="fr-CA"/>
        </w:rPr>
        <w:t xml:space="preserve"> de déterminer, en l’espèce, si</w:t>
      </w:r>
      <w:r w:rsidRPr="006445CF">
        <w:rPr>
          <w:lang w:val="fr-CA"/>
        </w:rPr>
        <w:t xml:space="preserve"> l’action des Innus comporte effectivement des demandes qui seraient de nature réelle ou mixte du fait qu’elles viseraient à faire reconnaître ou à protéger un titre ancestral ou d’autres droits ancestraux ou issus de traités, lesquels sont des droits réels aux fins du droit international privé; dans l’affirmative, les autorités sont incompétentes pour y faire droit si </w:t>
      </w:r>
      <w:r w:rsidR="00F32786">
        <w:rPr>
          <w:lang w:val="fr-CA"/>
        </w:rPr>
        <w:t xml:space="preserve">elles portent sur la partie du </w:t>
      </w:r>
      <w:r w:rsidRPr="006445CF">
        <w:rPr>
          <w:lang w:val="fr-CA"/>
        </w:rPr>
        <w:t>territoire an</w:t>
      </w:r>
      <w:r w:rsidR="00F32786">
        <w:rPr>
          <w:lang w:val="fr-CA"/>
        </w:rPr>
        <w:t>cestral</w:t>
      </w:r>
      <w:r w:rsidR="003B6412">
        <w:rPr>
          <w:lang w:val="fr-CA"/>
        </w:rPr>
        <w:t xml:space="preserve"> qui est située à Terre</w:t>
      </w:r>
      <w:r w:rsidR="003B6412">
        <w:rPr>
          <w:lang w:val="fr-CA"/>
        </w:rPr>
        <w:noBreakHyphen/>
      </w:r>
      <w:r w:rsidRPr="006445CF">
        <w:rPr>
          <w:lang w:val="fr-CA"/>
        </w:rPr>
        <w:t>N</w:t>
      </w:r>
      <w:r w:rsidR="003B6412">
        <w:rPr>
          <w:lang w:val="fr-CA"/>
        </w:rPr>
        <w:t>euve</w:t>
      </w:r>
      <w:r w:rsidR="003B6412">
        <w:rPr>
          <w:lang w:val="fr-CA"/>
        </w:rPr>
        <w:noBreakHyphen/>
        <w:t>et</w:t>
      </w:r>
      <w:r w:rsidR="003B6412">
        <w:rPr>
          <w:lang w:val="fr-CA"/>
        </w:rPr>
        <w:noBreakHyphen/>
      </w:r>
      <w:r w:rsidRPr="006445CF">
        <w:rPr>
          <w:lang w:val="fr-CA"/>
        </w:rPr>
        <w:t>Labrador.</w:t>
      </w:r>
    </w:p>
    <w:p w:rsidR="00F731C9" w:rsidRPr="006445CF" w:rsidRDefault="00F32786" w:rsidP="008B19D5">
      <w:pPr>
        <w:pStyle w:val="SCCNormalDoubleSpacing"/>
        <w:spacing w:after="480"/>
        <w:rPr>
          <w:lang w:val="fr-CA"/>
        </w:rPr>
      </w:pPr>
      <w:r>
        <w:rPr>
          <w:lang w:val="fr-CA"/>
        </w:rPr>
        <w:tab/>
        <w:t xml:space="preserve">Les demandes de remèdes déclaratoires </w:t>
      </w:r>
      <w:r w:rsidR="00F731C9" w:rsidRPr="006445CF">
        <w:rPr>
          <w:lang w:val="fr-CA"/>
        </w:rPr>
        <w:t>dans la requête introduc</w:t>
      </w:r>
      <w:r>
        <w:rPr>
          <w:lang w:val="fr-CA"/>
        </w:rPr>
        <w:t>tive d’instance des Innus</w:t>
      </w:r>
      <w:r w:rsidR="00F731C9" w:rsidRPr="006445CF">
        <w:rPr>
          <w:lang w:val="fr-CA"/>
        </w:rPr>
        <w:t xml:space="preserve"> visent manifestement à faire reconnaître un titre ancestral et d’autres droits ancestraux ou issus de traités, lesquels sont des droits réels aux fins du d</w:t>
      </w:r>
      <w:r>
        <w:rPr>
          <w:lang w:val="fr-CA"/>
        </w:rPr>
        <w:t xml:space="preserve">roit international privé. </w:t>
      </w:r>
      <w:r w:rsidR="00F731C9" w:rsidRPr="006445CF">
        <w:rPr>
          <w:lang w:val="fr-CA"/>
        </w:rPr>
        <w:t>Le jugement déclaratoire est le moyen principal par lequel l’existence d’un titre ancestral peut</w:t>
      </w:r>
      <w:r>
        <w:rPr>
          <w:lang w:val="fr-CA"/>
        </w:rPr>
        <w:t xml:space="preserve"> être établie. Toutefois</w:t>
      </w:r>
      <w:r w:rsidR="00F731C9" w:rsidRPr="006445CF">
        <w:rPr>
          <w:lang w:val="fr-CA"/>
        </w:rPr>
        <w:t xml:space="preserve">, conformément à l’art. 3152 </w:t>
      </w:r>
      <w:r w:rsidR="00F731C9" w:rsidRPr="006445CF">
        <w:rPr>
          <w:i/>
          <w:lang w:val="fr-CA"/>
        </w:rPr>
        <w:t>C.c.Q.</w:t>
      </w:r>
      <w:r>
        <w:rPr>
          <w:lang w:val="fr-CA"/>
        </w:rPr>
        <w:t>, un tribunal</w:t>
      </w:r>
      <w:r w:rsidR="00F731C9" w:rsidRPr="006445CF">
        <w:rPr>
          <w:lang w:val="fr-CA"/>
        </w:rPr>
        <w:t xml:space="preserve"> ne peut faire droit à une demande de jugement déclaratoire </w:t>
      </w:r>
      <w:r w:rsidR="00F731C9" w:rsidRPr="006445CF">
        <w:rPr>
          <w:lang w:val="fr-CA"/>
        </w:rPr>
        <w:lastRenderedPageBreak/>
        <w:t>relativement à des droits de propriété ou de possession sur un immeuble situé à l’étranger car, ce faisant, elle prétendrait agir d</w:t>
      </w:r>
      <w:r>
        <w:rPr>
          <w:lang w:val="fr-CA"/>
        </w:rPr>
        <w:t>irectement sur le titre. En l’espèce</w:t>
      </w:r>
      <w:r w:rsidR="00F731C9" w:rsidRPr="006445CF">
        <w:rPr>
          <w:lang w:val="fr-CA"/>
        </w:rPr>
        <w:t>, même si les déclarations sollicitées par les Innus</w:t>
      </w:r>
      <w:r>
        <w:rPr>
          <w:lang w:val="fr-CA"/>
        </w:rPr>
        <w:t xml:space="preserve"> étaient opposables seulement aux compagnies minières</w:t>
      </w:r>
      <w:r w:rsidR="00F731C9" w:rsidRPr="006445CF">
        <w:rPr>
          <w:lang w:val="fr-CA"/>
        </w:rPr>
        <w:t>, il n’en demeure pas moins qu’il s’agirait de déclarations portant sur le titre dont les Innus allèguen</w:t>
      </w:r>
      <w:r>
        <w:rPr>
          <w:lang w:val="fr-CA"/>
        </w:rPr>
        <w:t>t être titulaires à l’égard du territoire ancestral</w:t>
      </w:r>
      <w:r w:rsidR="00F731C9" w:rsidRPr="006445CF">
        <w:rPr>
          <w:lang w:val="fr-CA"/>
        </w:rPr>
        <w:t>, y compris sur les parties du territoire qui sont situées à l’extérieur du Qu</w:t>
      </w:r>
      <w:r>
        <w:rPr>
          <w:lang w:val="fr-CA"/>
        </w:rPr>
        <w:t xml:space="preserve">ébec. </w:t>
      </w:r>
      <w:r w:rsidR="008B19D5">
        <w:rPr>
          <w:lang w:val="fr-CA"/>
        </w:rPr>
        <w:t>En raison de l’art. </w:t>
      </w:r>
      <w:r w:rsidR="00F731C9" w:rsidRPr="006445CF">
        <w:rPr>
          <w:lang w:val="fr-CA"/>
        </w:rPr>
        <w:t>3152, les autorités québécoises sont i</w:t>
      </w:r>
      <w:r>
        <w:rPr>
          <w:lang w:val="fr-CA"/>
        </w:rPr>
        <w:t xml:space="preserve">ncompétentes à cet égard. </w:t>
      </w:r>
      <w:r w:rsidR="00F731C9" w:rsidRPr="006445CF">
        <w:rPr>
          <w:lang w:val="fr-CA"/>
        </w:rPr>
        <w:t>Si les autorités québécoises se prononçaient directement sur le titre dont les Innus estiment être titulaires à l’égard des p</w:t>
      </w:r>
      <w:r>
        <w:rPr>
          <w:lang w:val="fr-CA"/>
        </w:rPr>
        <w:t>arties du territoire ancestral</w:t>
      </w:r>
      <w:r w:rsidR="00F731C9" w:rsidRPr="006445CF">
        <w:rPr>
          <w:lang w:val="fr-CA"/>
        </w:rPr>
        <w:t xml:space="preserve"> qui sont situées à l’extérieur du Québec, ces déclarations ne seraient opposables à personne, pa</w:t>
      </w:r>
      <w:r>
        <w:rPr>
          <w:lang w:val="fr-CA"/>
        </w:rPr>
        <w:t>s même aux compagnies minières</w:t>
      </w:r>
      <w:r w:rsidR="00F731C9" w:rsidRPr="006445CF">
        <w:rPr>
          <w:lang w:val="fr-CA"/>
        </w:rPr>
        <w:t>, précisément parce que les autorités québécoises sont incompétentes à cet égard.</w:t>
      </w:r>
    </w:p>
    <w:p w:rsidR="00F731C9" w:rsidRPr="006445CF" w:rsidRDefault="00F32786" w:rsidP="008B19D5">
      <w:pPr>
        <w:pStyle w:val="SCCNormalDoubleSpacing"/>
        <w:spacing w:after="480"/>
        <w:rPr>
          <w:lang w:val="fr-CA"/>
        </w:rPr>
      </w:pPr>
      <w:r>
        <w:rPr>
          <w:lang w:val="fr-CA"/>
        </w:rPr>
        <w:tab/>
        <w:t>Les demandes des Innus visant</w:t>
      </w:r>
      <w:r w:rsidR="00F731C9" w:rsidRPr="006445CF">
        <w:rPr>
          <w:lang w:val="fr-CA"/>
        </w:rPr>
        <w:t xml:space="preserve"> l’émission d’une injonction permanente afin de faire cesser les opérations, installations et activités d</w:t>
      </w:r>
      <w:r>
        <w:rPr>
          <w:lang w:val="fr-CA"/>
        </w:rPr>
        <w:t>es compagnies minières s</w:t>
      </w:r>
      <w:r w:rsidR="00F731C9" w:rsidRPr="006445CF">
        <w:rPr>
          <w:lang w:val="fr-CA"/>
        </w:rPr>
        <w:t xml:space="preserve">ont aussi de nature réelle, puisqu’elles visent manifestement à protéger un titre ancestral et d’autres droits ancestraux ou issus de traités, lesquels sont des droits réels aux fins du </w:t>
      </w:r>
      <w:r>
        <w:rPr>
          <w:lang w:val="fr-CA"/>
        </w:rPr>
        <w:t>droit international privé.</w:t>
      </w:r>
      <w:r w:rsidR="00F731C9" w:rsidRPr="006445CF">
        <w:rPr>
          <w:lang w:val="fr-CA"/>
        </w:rPr>
        <w:t xml:space="preserve"> En droit québécois, l’injonction est le véhicule procédural approprié pour faire valoir son droit</w:t>
      </w:r>
      <w:r>
        <w:rPr>
          <w:lang w:val="fr-CA"/>
        </w:rPr>
        <w:t xml:space="preserve">. </w:t>
      </w:r>
      <w:r w:rsidR="00F731C9" w:rsidRPr="006445CF">
        <w:rPr>
          <w:lang w:val="fr-CA"/>
        </w:rPr>
        <w:t xml:space="preserve">Ainsi, selon l’art. 3152 </w:t>
      </w:r>
      <w:r w:rsidR="00F731C9" w:rsidRPr="006445CF">
        <w:rPr>
          <w:i/>
          <w:lang w:val="fr-CA"/>
        </w:rPr>
        <w:t>C.c.Q.</w:t>
      </w:r>
      <w:r>
        <w:rPr>
          <w:lang w:val="fr-CA"/>
        </w:rPr>
        <w:t>, un tribunal</w:t>
      </w:r>
      <w:r w:rsidR="00F731C9" w:rsidRPr="006445CF">
        <w:rPr>
          <w:lang w:val="fr-CA"/>
        </w:rPr>
        <w:t xml:space="preserve"> ne peut faire droit à une demande d’émission d’une injonction permanente relativement à un immeuble situé à l’extérieur de la province.</w:t>
      </w:r>
    </w:p>
    <w:p w:rsidR="00F731C9" w:rsidRPr="006445CF" w:rsidRDefault="00F32786" w:rsidP="008B19D5">
      <w:pPr>
        <w:pStyle w:val="SCCNormalDoubleSpacing"/>
        <w:spacing w:after="480"/>
        <w:rPr>
          <w:lang w:val="fr-CA"/>
        </w:rPr>
      </w:pPr>
      <w:r>
        <w:rPr>
          <w:lang w:val="fr-CA"/>
        </w:rPr>
        <w:tab/>
      </w:r>
      <w:r w:rsidR="00F731C9" w:rsidRPr="006445CF">
        <w:rPr>
          <w:lang w:val="fr-CA"/>
        </w:rPr>
        <w:t>La demande de dommag</w:t>
      </w:r>
      <w:r>
        <w:rPr>
          <w:lang w:val="fr-CA"/>
        </w:rPr>
        <w:t>es</w:t>
      </w:r>
      <w:r>
        <w:rPr>
          <w:lang w:val="fr-CA"/>
        </w:rPr>
        <w:noBreakHyphen/>
        <w:t xml:space="preserve">intérêts dirigée contre les </w:t>
      </w:r>
      <w:r w:rsidR="00F731C9" w:rsidRPr="006445CF">
        <w:rPr>
          <w:lang w:val="fr-CA"/>
        </w:rPr>
        <w:t>compag</w:t>
      </w:r>
      <w:r>
        <w:rPr>
          <w:lang w:val="fr-CA"/>
        </w:rPr>
        <w:t>nies minières</w:t>
      </w:r>
      <w:r w:rsidR="00F731C9" w:rsidRPr="006445CF">
        <w:rPr>
          <w:lang w:val="fr-CA"/>
        </w:rPr>
        <w:t xml:space="preserve"> — dans la mesure où elle repose sur la violation alléguée du titre ancestral et des autres droits ancestraux ou issus de traités dont les Innus prétendent être titulair</w:t>
      </w:r>
      <w:r>
        <w:rPr>
          <w:lang w:val="fr-CA"/>
        </w:rPr>
        <w:t xml:space="preserve">es sur le </w:t>
      </w:r>
      <w:r>
        <w:rPr>
          <w:lang w:val="fr-CA"/>
        </w:rPr>
        <w:lastRenderedPageBreak/>
        <w:t>territoire ancestral</w:t>
      </w:r>
      <w:r w:rsidR="00F731C9" w:rsidRPr="006445CF">
        <w:rPr>
          <w:lang w:val="fr-CA"/>
        </w:rPr>
        <w:t xml:space="preserve"> — ne peut être accueillie que si les Innus parviennent à faire reconnaître ce titre ancestral et ces autres droits ancestr</w:t>
      </w:r>
      <w:r>
        <w:rPr>
          <w:lang w:val="fr-CA"/>
        </w:rPr>
        <w:t xml:space="preserve">aux ou issus de traités sur le territoire ancestral. </w:t>
      </w:r>
      <w:r w:rsidR="00F731C9" w:rsidRPr="006445CF">
        <w:rPr>
          <w:lang w:val="fr-CA"/>
        </w:rPr>
        <w:t>Or, les autorités québécoises n’ont précisément pas la compétence requise pour entendre une action visant à faire reconnaître un titre ancestral ou d’autres droits ancestraux ou issus de traités sur des terres qui ne sont pas situées au Québec. Il s’ensuit nécessairement que, dans l’état actuel des choses, les autorités québécoises doivent à tout le moins suspendre l’instance sur ce point jusqu’à ce qu’une autorité compétente ait reconnu l’existence de ces droits sur les p</w:t>
      </w:r>
      <w:r>
        <w:rPr>
          <w:lang w:val="fr-CA"/>
        </w:rPr>
        <w:t>arties du territoire ancestral</w:t>
      </w:r>
      <w:r w:rsidR="00F731C9" w:rsidRPr="006445CF">
        <w:rPr>
          <w:lang w:val="fr-CA"/>
        </w:rPr>
        <w:t xml:space="preserve"> qui sont situées à Terre</w:t>
      </w:r>
      <w:r w:rsidR="00F731C9" w:rsidRPr="006445CF">
        <w:rPr>
          <w:lang w:val="fr-CA"/>
        </w:rPr>
        <w:noBreakHyphen/>
        <w:t>Neuve</w:t>
      </w:r>
      <w:r w:rsidR="00F731C9" w:rsidRPr="006445CF">
        <w:rPr>
          <w:lang w:val="fr-CA"/>
        </w:rPr>
        <w:noBreakHyphen/>
        <w:t>et</w:t>
      </w:r>
      <w:r w:rsidR="00F731C9" w:rsidRPr="006445CF">
        <w:rPr>
          <w:lang w:val="fr-CA"/>
        </w:rPr>
        <w:noBreakHyphen/>
        <w:t>Labrador.</w:t>
      </w:r>
    </w:p>
    <w:p w:rsidR="00F731C9" w:rsidRPr="006445CF" w:rsidRDefault="00F32786" w:rsidP="00F731C9">
      <w:pPr>
        <w:pStyle w:val="SCCNormalDoubleSpacing"/>
        <w:spacing w:after="480"/>
        <w:rPr>
          <w:lang w:val="fr-CA"/>
        </w:rPr>
      </w:pPr>
      <w:r>
        <w:rPr>
          <w:lang w:val="fr-CA"/>
        </w:rPr>
        <w:tab/>
      </w:r>
      <w:r w:rsidR="00F731C9" w:rsidRPr="006445CF">
        <w:rPr>
          <w:lang w:val="fr-CA"/>
        </w:rPr>
        <w:t xml:space="preserve">Le recours fondé sur l’art. 976 </w:t>
      </w:r>
      <w:r w:rsidR="00F731C9" w:rsidRPr="006445CF">
        <w:rPr>
          <w:i/>
          <w:lang w:val="fr-CA"/>
        </w:rPr>
        <w:t>C.c.Q.</w:t>
      </w:r>
      <w:r w:rsidR="00F731C9" w:rsidRPr="006445CF">
        <w:rPr>
          <w:lang w:val="fr-CA"/>
        </w:rPr>
        <w:t xml:space="preserve"> demeure avant tout un droit de créance appartenant à une personne, ce qui en fa</w:t>
      </w:r>
      <w:r>
        <w:rPr>
          <w:lang w:val="fr-CA"/>
        </w:rPr>
        <w:t>it une action personnelle.</w:t>
      </w:r>
      <w:r w:rsidR="00F731C9" w:rsidRPr="006445CF">
        <w:rPr>
          <w:lang w:val="fr-CA"/>
        </w:rPr>
        <w:t xml:space="preserve"> Les défenderesses étant domiciliées au Québec et un p</w:t>
      </w:r>
      <w:r w:rsidR="008B19D5">
        <w:rPr>
          <w:lang w:val="fr-CA"/>
        </w:rPr>
        <w:t>réjudice y ayant été subi (art. 3148 al. </w:t>
      </w:r>
      <w:r w:rsidR="00F731C9" w:rsidRPr="006445CF">
        <w:rPr>
          <w:lang w:val="fr-CA"/>
        </w:rPr>
        <w:t xml:space="preserve">1(1) et (3) </w:t>
      </w:r>
      <w:r w:rsidR="00F731C9" w:rsidRPr="006445CF">
        <w:rPr>
          <w:i/>
          <w:lang w:val="fr-CA"/>
        </w:rPr>
        <w:t>C.c.Q.</w:t>
      </w:r>
      <w:r w:rsidR="00F731C9" w:rsidRPr="006445CF">
        <w:rPr>
          <w:lang w:val="fr-CA"/>
        </w:rPr>
        <w:t>), les autorités québécoises sont compétentes à l’égard de cette demande.</w:t>
      </w:r>
    </w:p>
    <w:p w:rsidR="00F731C9" w:rsidRPr="006445CF" w:rsidRDefault="00F32786" w:rsidP="00F731C9">
      <w:pPr>
        <w:pStyle w:val="SCCNormalDoubleSpacing"/>
        <w:spacing w:after="480"/>
        <w:rPr>
          <w:lang w:val="fr-CA"/>
        </w:rPr>
      </w:pPr>
      <w:r>
        <w:rPr>
          <w:lang w:val="fr-CA"/>
        </w:rPr>
        <w:tab/>
      </w:r>
      <w:r w:rsidR="00F731C9" w:rsidRPr="006445CF">
        <w:rPr>
          <w:lang w:val="fr-CA"/>
        </w:rPr>
        <w:t xml:space="preserve">Enfin, les Innus réclament divers remèdes de nature fiduciaire ou fondés sur l’administration du bien d’autrui (art. 1299 </w:t>
      </w:r>
      <w:r w:rsidR="00F731C9" w:rsidRPr="006445CF">
        <w:rPr>
          <w:i/>
          <w:lang w:val="fr-CA"/>
        </w:rPr>
        <w:t>C.c.Q.</w:t>
      </w:r>
      <w:r w:rsidR="00F731C9" w:rsidRPr="006445CF">
        <w:rPr>
          <w:lang w:val="fr-CA"/>
        </w:rPr>
        <w:t>) à l’égard des ouvrages et installations d</w:t>
      </w:r>
      <w:r>
        <w:rPr>
          <w:lang w:val="fr-CA"/>
        </w:rPr>
        <w:t xml:space="preserve">es compagnies minières. </w:t>
      </w:r>
      <w:r w:rsidR="00F731C9" w:rsidRPr="006445CF">
        <w:rPr>
          <w:lang w:val="fr-CA"/>
        </w:rPr>
        <w:t>Ces demandes sont de nature réelle et, compte tenu de l’art. 3152 </w:t>
      </w:r>
      <w:r w:rsidR="00F731C9" w:rsidRPr="006445CF">
        <w:rPr>
          <w:i/>
          <w:lang w:val="fr-CA"/>
        </w:rPr>
        <w:t>C.c.Q.</w:t>
      </w:r>
      <w:r w:rsidR="00F731C9" w:rsidRPr="006445CF">
        <w:rPr>
          <w:lang w:val="fr-CA"/>
        </w:rPr>
        <w:t xml:space="preserve">, les autorités québécoises ne peuvent y faire </w:t>
      </w:r>
      <w:proofErr w:type="gramStart"/>
      <w:r w:rsidR="00F731C9" w:rsidRPr="006445CF">
        <w:rPr>
          <w:lang w:val="fr-CA"/>
        </w:rPr>
        <w:t>droit</w:t>
      </w:r>
      <w:proofErr w:type="gramEnd"/>
      <w:r w:rsidR="00F731C9" w:rsidRPr="006445CF">
        <w:rPr>
          <w:lang w:val="fr-CA"/>
        </w:rPr>
        <w:t xml:space="preserve"> si elles portent sur des</w:t>
      </w:r>
      <w:r>
        <w:rPr>
          <w:lang w:val="fr-CA"/>
        </w:rPr>
        <w:t xml:space="preserve"> ouvrages ou installations des compagnies minières</w:t>
      </w:r>
      <w:r w:rsidR="00F731C9" w:rsidRPr="006445CF">
        <w:rPr>
          <w:lang w:val="fr-CA"/>
        </w:rPr>
        <w:t xml:space="preserve"> situés à Terre</w:t>
      </w:r>
      <w:r w:rsidR="00F731C9" w:rsidRPr="006445CF">
        <w:rPr>
          <w:lang w:val="fr-CA"/>
        </w:rPr>
        <w:noBreakHyphen/>
        <w:t>Neuve</w:t>
      </w:r>
      <w:r w:rsidR="00F731C9" w:rsidRPr="006445CF">
        <w:rPr>
          <w:lang w:val="fr-CA"/>
        </w:rPr>
        <w:noBreakHyphen/>
        <w:t>et</w:t>
      </w:r>
      <w:r w:rsidR="00F731C9" w:rsidRPr="006445CF">
        <w:rPr>
          <w:lang w:val="fr-CA"/>
        </w:rPr>
        <w:noBreakHyphen/>
        <w:t>Labrador.</w:t>
      </w:r>
    </w:p>
    <w:p w:rsidR="00F731C9" w:rsidRPr="006445CF" w:rsidRDefault="00F32786" w:rsidP="00F731C9">
      <w:pPr>
        <w:pStyle w:val="SCCNormalDoubleSpacing"/>
        <w:spacing w:after="480"/>
        <w:rPr>
          <w:lang w:val="fr-CA"/>
        </w:rPr>
      </w:pPr>
      <w:r>
        <w:rPr>
          <w:lang w:val="fr-CA"/>
        </w:rPr>
        <w:tab/>
        <w:t>Puisque,</w:t>
      </w:r>
      <w:r w:rsidR="008B19D5">
        <w:rPr>
          <w:lang w:val="fr-CA"/>
        </w:rPr>
        <w:t xml:space="preserve"> compte tenu de l’art. </w:t>
      </w:r>
      <w:r w:rsidR="00F731C9" w:rsidRPr="006445CF">
        <w:rPr>
          <w:lang w:val="fr-CA"/>
        </w:rPr>
        <w:t xml:space="preserve">3152 </w:t>
      </w:r>
      <w:r w:rsidR="00F731C9" w:rsidRPr="006445CF">
        <w:rPr>
          <w:i/>
          <w:lang w:val="fr-CA"/>
        </w:rPr>
        <w:t>C.c.Q</w:t>
      </w:r>
      <w:r w:rsidR="00F731C9" w:rsidRPr="006445CF">
        <w:rPr>
          <w:lang w:val="fr-CA"/>
        </w:rPr>
        <w:t xml:space="preserve">., les autorités québécoises sont incompétentes à l’égard de la demande de remèdes déclaratoires en reconnaissance </w:t>
      </w:r>
      <w:r w:rsidR="00F731C9" w:rsidRPr="006445CF">
        <w:rPr>
          <w:lang w:val="fr-CA"/>
        </w:rPr>
        <w:lastRenderedPageBreak/>
        <w:t>d’un titre ancestral et d’autres droits ancestraux ou issus de traités</w:t>
      </w:r>
      <w:r w:rsidR="00D409EB">
        <w:rPr>
          <w:lang w:val="fr-CA"/>
        </w:rPr>
        <w:t xml:space="preserve"> sur des terres situées à Terre</w:t>
      </w:r>
      <w:r w:rsidR="00D409EB">
        <w:rPr>
          <w:lang w:val="fr-CA"/>
        </w:rPr>
        <w:noBreakHyphen/>
        <w:t>Neuve</w:t>
      </w:r>
      <w:r w:rsidR="00D409EB">
        <w:rPr>
          <w:lang w:val="fr-CA"/>
        </w:rPr>
        <w:noBreakHyphen/>
        <w:t>et</w:t>
      </w:r>
      <w:r w:rsidR="00D409EB">
        <w:rPr>
          <w:lang w:val="fr-CA"/>
        </w:rPr>
        <w:noBreakHyphen/>
      </w:r>
      <w:r w:rsidR="00F731C9" w:rsidRPr="006445CF">
        <w:rPr>
          <w:lang w:val="fr-CA"/>
        </w:rPr>
        <w:t xml:space="preserve">Labrador, de la demande d’émission d’une injonction permanente visant à faire cesser les opérations, </w:t>
      </w:r>
      <w:r>
        <w:rPr>
          <w:lang w:val="fr-CA"/>
        </w:rPr>
        <w:t xml:space="preserve">installations et activités des </w:t>
      </w:r>
      <w:r w:rsidR="00F731C9" w:rsidRPr="006445CF">
        <w:rPr>
          <w:lang w:val="fr-CA"/>
        </w:rPr>
        <w:t xml:space="preserve">compagnies </w:t>
      </w:r>
      <w:r>
        <w:rPr>
          <w:lang w:val="fr-CA"/>
        </w:rPr>
        <w:t xml:space="preserve">minières </w:t>
      </w:r>
      <w:r w:rsidR="00F731C9" w:rsidRPr="006445CF">
        <w:rPr>
          <w:lang w:val="fr-CA"/>
        </w:rPr>
        <w:t>sur des terres situées à Terre</w:t>
      </w:r>
      <w:r w:rsidR="00F731C9" w:rsidRPr="006445CF">
        <w:rPr>
          <w:lang w:val="fr-CA"/>
        </w:rPr>
        <w:noBreakHyphen/>
        <w:t>Neuve</w:t>
      </w:r>
      <w:r w:rsidR="00F731C9" w:rsidRPr="006445CF">
        <w:rPr>
          <w:lang w:val="fr-CA"/>
        </w:rPr>
        <w:noBreakHyphen/>
        <w:t>et</w:t>
      </w:r>
      <w:r w:rsidR="00F731C9" w:rsidRPr="006445CF">
        <w:rPr>
          <w:lang w:val="fr-CA"/>
        </w:rPr>
        <w:noBreakHyphen/>
        <w:t>Labrador, et de la demande de nature fiduciaire ou fondée sur l’administration du bien d’autrui concernant des ouvrages et install</w:t>
      </w:r>
      <w:r>
        <w:rPr>
          <w:lang w:val="fr-CA"/>
        </w:rPr>
        <w:t>ations des compagnies minières</w:t>
      </w:r>
      <w:r w:rsidR="00F731C9" w:rsidRPr="006445CF">
        <w:rPr>
          <w:lang w:val="fr-CA"/>
        </w:rPr>
        <w:t xml:space="preserve"> situés à</w:t>
      </w:r>
      <w:r>
        <w:rPr>
          <w:lang w:val="fr-CA"/>
        </w:rPr>
        <w:t xml:space="preserve"> Terre</w:t>
      </w:r>
      <w:r>
        <w:rPr>
          <w:lang w:val="fr-CA"/>
        </w:rPr>
        <w:noBreakHyphen/>
        <w:t>Neuve</w:t>
      </w:r>
      <w:r>
        <w:rPr>
          <w:lang w:val="fr-CA"/>
        </w:rPr>
        <w:noBreakHyphen/>
        <w:t>et</w:t>
      </w:r>
      <w:r>
        <w:rPr>
          <w:lang w:val="fr-CA"/>
        </w:rPr>
        <w:noBreakHyphen/>
        <w:t xml:space="preserve">Labrador, </w:t>
      </w:r>
      <w:r w:rsidR="00F731C9" w:rsidRPr="006445CF">
        <w:rPr>
          <w:lang w:val="fr-CA"/>
        </w:rPr>
        <w:t>il y a lieu d’ordonner que les conclusions</w:t>
      </w:r>
      <w:r w:rsidR="00F731C9" w:rsidRPr="006445CF">
        <w:rPr>
          <w:i/>
          <w:lang w:val="fr-CA"/>
        </w:rPr>
        <w:t xml:space="preserve"> </w:t>
      </w:r>
      <w:r w:rsidR="00F731C9" w:rsidRPr="006445CF">
        <w:rPr>
          <w:lang w:val="fr-CA"/>
        </w:rPr>
        <w:t xml:space="preserve">de la requête introductive d’instance des Innus, et plus spécifiquement les conclusions qui sont de nature déclaratoire </w:t>
      </w:r>
      <w:r>
        <w:rPr>
          <w:lang w:val="fr-CA"/>
        </w:rPr>
        <w:t>ou injonctive et qui visent le territoire ancestral</w:t>
      </w:r>
      <w:r w:rsidR="00F731C9" w:rsidRPr="006445CF">
        <w:rPr>
          <w:lang w:val="fr-CA"/>
        </w:rPr>
        <w:t xml:space="preserve"> ou le mégaprojet, soient modifiées afin qu’elles se limitent à des faits, activités ou droits situés à l’intérieur des limites</w:t>
      </w:r>
      <w:r>
        <w:rPr>
          <w:lang w:val="fr-CA"/>
        </w:rPr>
        <w:t xml:space="preserve"> territoriales du Québec. </w:t>
      </w:r>
      <w:r w:rsidR="00F731C9" w:rsidRPr="006445CF">
        <w:rPr>
          <w:lang w:val="fr-CA"/>
        </w:rPr>
        <w:t xml:space="preserve">Il n’y a pas lieu, </w:t>
      </w:r>
      <w:r>
        <w:rPr>
          <w:lang w:val="fr-CA"/>
        </w:rPr>
        <w:t>toutefois</w:t>
      </w:r>
      <w:r w:rsidR="00F731C9" w:rsidRPr="006445CF">
        <w:rPr>
          <w:lang w:val="fr-CA"/>
        </w:rPr>
        <w:t>, d’ordonner la radiation des allégations</w:t>
      </w:r>
      <w:r w:rsidR="00F731C9" w:rsidRPr="006445CF">
        <w:rPr>
          <w:i/>
          <w:lang w:val="fr-CA"/>
        </w:rPr>
        <w:t xml:space="preserve"> </w:t>
      </w:r>
      <w:r w:rsidR="00F731C9" w:rsidRPr="006445CF">
        <w:rPr>
          <w:lang w:val="fr-CA"/>
        </w:rPr>
        <w:t>de la requête introductive d’instance, car les allégat</w:t>
      </w:r>
      <w:r>
        <w:rPr>
          <w:lang w:val="fr-CA"/>
        </w:rPr>
        <w:t>ions portant sur l’ensemble du territoire ancestral</w:t>
      </w:r>
      <w:r w:rsidR="00F731C9" w:rsidRPr="006445CF">
        <w:rPr>
          <w:lang w:val="fr-CA"/>
        </w:rPr>
        <w:t>, y compris sur les parties de ce territoire qui sont situées à Terre</w:t>
      </w:r>
      <w:r w:rsidR="00F731C9" w:rsidRPr="006445CF">
        <w:rPr>
          <w:lang w:val="fr-CA"/>
        </w:rPr>
        <w:noBreakHyphen/>
        <w:t>Neuve</w:t>
      </w:r>
      <w:r w:rsidR="00F731C9" w:rsidRPr="006445CF">
        <w:rPr>
          <w:lang w:val="fr-CA"/>
        </w:rPr>
        <w:noBreakHyphen/>
        <w:t>et</w:t>
      </w:r>
      <w:r w:rsidR="00F731C9" w:rsidRPr="006445CF">
        <w:rPr>
          <w:lang w:val="fr-CA"/>
        </w:rPr>
        <w:noBreakHyphen/>
        <w:t>Labrador, tout comme la preuve s’y rapportant, pourraient se révéler pertinentes lors du procès au fond afin de déterminer l’existence du titre ancestral et des autres droits ancestraux ou issus de traités situés au Québec.</w:t>
      </w:r>
    </w:p>
    <w:p w:rsidR="00F731C9" w:rsidRPr="006445CF" w:rsidRDefault="00F32786" w:rsidP="008B19D5">
      <w:pPr>
        <w:pStyle w:val="SCCNormalDoubleSpacing"/>
        <w:tabs>
          <w:tab w:val="clear" w:pos="1168"/>
          <w:tab w:val="left" w:pos="1170"/>
        </w:tabs>
        <w:spacing w:after="480"/>
        <w:rPr>
          <w:lang w:val="fr-CA"/>
        </w:rPr>
      </w:pPr>
      <w:r>
        <w:rPr>
          <w:lang w:val="fr-CA"/>
        </w:rPr>
        <w:tab/>
      </w:r>
      <w:r w:rsidR="00F731C9" w:rsidRPr="006445CF">
        <w:rPr>
          <w:lang w:val="fr-CA"/>
        </w:rPr>
        <w:t xml:space="preserve">Les droits ancestraux sont </w:t>
      </w:r>
      <w:r w:rsidR="00F731C9" w:rsidRPr="006445CF">
        <w:rPr>
          <w:i/>
          <w:lang w:val="fr-CA"/>
        </w:rPr>
        <w:t>sui generis</w:t>
      </w:r>
      <w:r w:rsidR="00F731C9" w:rsidRPr="006445CF">
        <w:rPr>
          <w:lang w:val="fr-CA"/>
        </w:rPr>
        <w:t>, mais ils existent dans les limites du système jur</w:t>
      </w:r>
      <w:r>
        <w:rPr>
          <w:lang w:val="fr-CA"/>
        </w:rPr>
        <w:t xml:space="preserve">idique canadien et leur </w:t>
      </w:r>
      <w:r w:rsidR="00F731C9" w:rsidRPr="006445CF">
        <w:rPr>
          <w:lang w:val="fr-CA"/>
        </w:rPr>
        <w:t>revendication devant les tribunaux ne doit pas faire entorse à l’organisation juridique et con</w:t>
      </w:r>
      <w:r>
        <w:rPr>
          <w:lang w:val="fr-CA"/>
        </w:rPr>
        <w:t>stitutionnelle du Canada. L’objectif de conciliation</w:t>
      </w:r>
      <w:r w:rsidR="00F731C9" w:rsidRPr="006445CF">
        <w:rPr>
          <w:lang w:val="fr-CA"/>
        </w:rPr>
        <w:t xml:space="preserve"> entre la présence antérieure des peuples autochtones sur le territoire ca</w:t>
      </w:r>
      <w:r w:rsidR="0065265A">
        <w:rPr>
          <w:lang w:val="fr-CA"/>
        </w:rPr>
        <w:t>nadien et l’affirmation par la C</w:t>
      </w:r>
      <w:r w:rsidR="00F731C9" w:rsidRPr="006445CF">
        <w:rPr>
          <w:lang w:val="fr-CA"/>
        </w:rPr>
        <w:t>ouronne de sa souverain</w:t>
      </w:r>
      <w:r>
        <w:rPr>
          <w:lang w:val="fr-CA"/>
        </w:rPr>
        <w:t>eté sur ce même territoire</w:t>
      </w:r>
      <w:r w:rsidR="00F731C9" w:rsidRPr="006445CF">
        <w:rPr>
          <w:lang w:val="fr-CA"/>
        </w:rPr>
        <w:t xml:space="preserve"> ne peut pas être atteint si l’on reconnaît d’une part l’occupation antérieure des peuples autochtones, tout en écartant d’autre part le principe constitutionnel du fédéralis</w:t>
      </w:r>
      <w:r w:rsidR="0065265A">
        <w:rPr>
          <w:lang w:val="fr-CA"/>
        </w:rPr>
        <w:t>me et de la souveraineté de la C</w:t>
      </w:r>
      <w:r w:rsidR="00F731C9" w:rsidRPr="006445CF">
        <w:rPr>
          <w:lang w:val="fr-CA"/>
        </w:rPr>
        <w:t xml:space="preserve">ouronne provinciale, contrevenant par le fait même au </w:t>
      </w:r>
      <w:r w:rsidR="00F731C9" w:rsidRPr="006445CF">
        <w:rPr>
          <w:lang w:val="fr-CA"/>
        </w:rPr>
        <w:lastRenderedPageBreak/>
        <w:t>principe bien établi sel</w:t>
      </w:r>
      <w:r w:rsidR="0065265A">
        <w:rPr>
          <w:lang w:val="fr-CA"/>
        </w:rPr>
        <w:t>on lequel une partie de la C</w:t>
      </w:r>
      <w:r w:rsidR="00F731C9" w:rsidRPr="006445CF">
        <w:rPr>
          <w:lang w:val="fr-CA"/>
        </w:rPr>
        <w:t>onstitution ne peut en abroger une autre. Il faut d</w:t>
      </w:r>
      <w:r>
        <w:rPr>
          <w:lang w:val="fr-CA"/>
        </w:rPr>
        <w:t>onc</w:t>
      </w:r>
      <w:r w:rsidR="00F731C9" w:rsidRPr="006445CF">
        <w:rPr>
          <w:lang w:val="fr-CA"/>
        </w:rPr>
        <w:t xml:space="preserve"> réaliser l’objectif de conciliation en tenant compte non seulement du point de vue des autochtones ⸺ et donc de l’occupation antérieure et sans frontière </w:t>
      </w:r>
      <w:r w:rsidR="008B19D5">
        <w:rPr>
          <w:lang w:val="fr-CA"/>
        </w:rPr>
        <w:t>du territoire canadien par ceux</w:t>
      </w:r>
      <w:r w:rsidR="008B19D5">
        <w:rPr>
          <w:lang w:val="fr-CA"/>
        </w:rPr>
        <w:noBreakHyphen/>
      </w:r>
      <w:r w:rsidR="00F731C9" w:rsidRPr="006445CF">
        <w:rPr>
          <w:lang w:val="fr-CA"/>
        </w:rPr>
        <w:t xml:space="preserve">ci ⸺, mais aussi du cadre constitutionnel qui accompagne la souveraineté de </w:t>
      </w:r>
      <w:r>
        <w:rPr>
          <w:lang w:val="fr-CA"/>
        </w:rPr>
        <w:t xml:space="preserve">la Couronne et dans lequel les </w:t>
      </w:r>
      <w:r w:rsidR="00F731C9" w:rsidRPr="006445CF">
        <w:rPr>
          <w:lang w:val="fr-CA"/>
        </w:rPr>
        <w:t>tribunaux canadiens doivent opérer.</w:t>
      </w:r>
    </w:p>
    <w:p w:rsidR="00FC1753" w:rsidRPr="00C22129" w:rsidRDefault="00FC1753" w:rsidP="008B19D5">
      <w:pPr>
        <w:pStyle w:val="SCCNormalDoubleSpacing"/>
        <w:spacing w:after="480"/>
        <w:rPr>
          <w:lang w:val="fr-CA"/>
        </w:rPr>
      </w:pPr>
      <w:r>
        <w:rPr>
          <w:lang w:val="fr-CA"/>
        </w:rPr>
        <w:tab/>
      </w:r>
      <w:r w:rsidRPr="00CA1F3D">
        <w:rPr>
          <w:lang w:val="fr-CA"/>
        </w:rPr>
        <w:t>Conclure que les cours</w:t>
      </w:r>
      <w:r w:rsidRPr="00F52D1E">
        <w:rPr>
          <w:lang w:val="fr-CA"/>
        </w:rPr>
        <w:t xml:space="preserve"> supérieures ont compétence pour statuer sur les droits d’une partie autochtone protégés par l’art. 35 qui </w:t>
      </w:r>
      <w:r w:rsidRPr="00F52D1E">
        <w:rPr>
          <w:szCs w:val="24"/>
          <w:lang w:val="fr-CA"/>
        </w:rPr>
        <w:t xml:space="preserve">ont un effet sur </w:t>
      </w:r>
      <w:r w:rsidRPr="00F52D1E">
        <w:rPr>
          <w:lang w:val="fr-CA"/>
        </w:rPr>
        <w:t>une autre province traite implicitement les provinces comme si elles étaient (au mieux) des entités administratives ou (au pire) des structures gênantes. Cela est profondément irrespectueux envers l’ordre constitutionnel selon lequel les provinces sont souveraines dans leurs champs de compétence.</w:t>
      </w:r>
      <w:r>
        <w:rPr>
          <w:lang w:val="fr-CA"/>
        </w:rPr>
        <w:t xml:space="preserve"> </w:t>
      </w:r>
      <w:r w:rsidRPr="00F52D1E">
        <w:rPr>
          <w:lang w:val="fr-CA"/>
        </w:rPr>
        <w:t>Les frontières provinciales sont une caractéristique essentielle du système de cours supérieures provinciales, tout comme elles en sont une en ce qui a trait aux pouvoirs législatifs des provinces.</w:t>
      </w:r>
      <w:r>
        <w:rPr>
          <w:lang w:val="fr-CA"/>
        </w:rPr>
        <w:t xml:space="preserve"> </w:t>
      </w:r>
      <w:r w:rsidRPr="00F52D1E">
        <w:rPr>
          <w:lang w:val="fr-CA"/>
        </w:rPr>
        <w:t>Plus particulièrement, le système de cours supérieures provinciales garantit que les revendications territoriales dans une province donnée ou les contestations de ses lois sont entendues par un juge de cette province.</w:t>
      </w:r>
      <w:r>
        <w:rPr>
          <w:lang w:val="fr-CA"/>
        </w:rPr>
        <w:t xml:space="preserve"> </w:t>
      </w:r>
      <w:r w:rsidRPr="00F52D1E">
        <w:rPr>
          <w:lang w:val="fr-CA"/>
        </w:rPr>
        <w:t>Ainsi, les revendications qui touchent le plus profondément au cœur de la souveraineté d’une province sont tranchées par un juge lié aux réalités de cette dernière. Cela accroît la confiance du public envers les tribunaux et protège leur fonctionnement et leur légitimité, surtout si l’issue du litige est défavorable à la province.</w:t>
      </w:r>
      <w:r w:rsidR="00C22129">
        <w:rPr>
          <w:lang w:val="fr-CA"/>
        </w:rPr>
        <w:t xml:space="preserve"> </w:t>
      </w:r>
      <w:r w:rsidR="00C22129" w:rsidRPr="00F52D1E">
        <w:rPr>
          <w:lang w:val="fr-CA"/>
        </w:rPr>
        <w:t xml:space="preserve">L’article 35 </w:t>
      </w:r>
      <w:proofErr w:type="gramStart"/>
      <w:r w:rsidR="00C22129" w:rsidRPr="00F52D1E">
        <w:rPr>
          <w:lang w:val="fr-CA"/>
        </w:rPr>
        <w:t>commande</w:t>
      </w:r>
      <w:proofErr w:type="gramEnd"/>
      <w:r w:rsidR="00C22129" w:rsidRPr="00F52D1E">
        <w:rPr>
          <w:lang w:val="fr-CA"/>
        </w:rPr>
        <w:t xml:space="preserve"> que les tribunaux rendent justice aux revendications de droits ancestraux qui </w:t>
      </w:r>
      <w:r w:rsidR="00C22129" w:rsidRPr="00C22129">
        <w:rPr>
          <w:lang w:val="fr-CA"/>
        </w:rPr>
        <w:t>transcendent les frontières provinciales, mais il ne les autorise pas à faire fi des frontières provinciales elles</w:t>
      </w:r>
      <w:r w:rsidR="00C22129" w:rsidRPr="00C22129">
        <w:rPr>
          <w:lang w:val="fr-CA"/>
        </w:rPr>
        <w:noBreakHyphen/>
        <w:t>mêmes.</w:t>
      </w:r>
    </w:p>
    <w:p w:rsidR="00C22129" w:rsidRPr="00C22129" w:rsidRDefault="00C70E7E" w:rsidP="00C70E7E">
      <w:pPr>
        <w:pStyle w:val="SCCNormalDoubleSpacing"/>
        <w:spacing w:after="480"/>
        <w:rPr>
          <w:lang w:val="fr-CA"/>
        </w:rPr>
      </w:pPr>
      <w:r>
        <w:rPr>
          <w:lang w:val="fr-CA"/>
        </w:rPr>
        <w:lastRenderedPageBreak/>
        <w:tab/>
      </w:r>
      <w:r w:rsidR="00C22129" w:rsidRPr="00C22129">
        <w:rPr>
          <w:lang w:val="fr-CA"/>
        </w:rPr>
        <w:t>Les jugement</w:t>
      </w:r>
      <w:r w:rsidR="00C22129">
        <w:rPr>
          <w:lang w:val="fr-CA"/>
        </w:rPr>
        <w:t xml:space="preserve">s déclaratoires sollicités en l’espèce sont </w:t>
      </w:r>
      <w:r w:rsidR="00C22129" w:rsidRPr="00C22129">
        <w:rPr>
          <w:lang w:val="fr-CA"/>
        </w:rPr>
        <w:t>contraires à la structure fédérale du Canada</w:t>
      </w:r>
      <w:r w:rsidR="00C22129">
        <w:rPr>
          <w:lang w:val="fr-CA"/>
        </w:rPr>
        <w:t>.</w:t>
      </w:r>
      <w:r w:rsidR="00C22129" w:rsidRPr="00F52D1E">
        <w:rPr>
          <w:lang w:val="fr-CA"/>
        </w:rPr>
        <w:t xml:space="preserve"> </w:t>
      </w:r>
      <w:r w:rsidR="00C22129">
        <w:rPr>
          <w:lang w:val="fr-CA"/>
        </w:rPr>
        <w:t>A</w:t>
      </w:r>
      <w:r w:rsidR="00C22129" w:rsidRPr="00F52D1E">
        <w:rPr>
          <w:lang w:val="fr-CA"/>
        </w:rPr>
        <w:t>vant q</w:t>
      </w:r>
      <w:r w:rsidR="00C22129">
        <w:rPr>
          <w:lang w:val="fr-CA"/>
        </w:rPr>
        <w:t xml:space="preserve">u’une cour puisse prononcer un </w:t>
      </w:r>
      <w:r w:rsidR="00C22129" w:rsidRPr="00F52D1E">
        <w:rPr>
          <w:lang w:val="fr-CA"/>
        </w:rPr>
        <w:t>jugement</w:t>
      </w:r>
      <w:r w:rsidR="00C22129">
        <w:rPr>
          <w:lang w:val="fr-CA"/>
        </w:rPr>
        <w:t xml:space="preserve"> </w:t>
      </w:r>
      <w:r w:rsidR="00C22129" w:rsidRPr="00C70E7E">
        <w:rPr>
          <w:szCs w:val="24"/>
          <w:lang w:val="fr-CA"/>
        </w:rPr>
        <w:t>déclaratoire</w:t>
      </w:r>
      <w:r w:rsidR="00C22129" w:rsidRPr="00F52D1E">
        <w:rPr>
          <w:lang w:val="fr-CA"/>
        </w:rPr>
        <w:t>, elle doit avoir compétence pour entendre l’affaire</w:t>
      </w:r>
      <w:r w:rsidR="00C22129">
        <w:rPr>
          <w:lang w:val="fr-CA"/>
        </w:rPr>
        <w:t xml:space="preserve">. Il </w:t>
      </w:r>
      <w:r w:rsidR="003617B5">
        <w:rPr>
          <w:lang w:val="fr-CA"/>
        </w:rPr>
        <w:t xml:space="preserve">est difficile </w:t>
      </w:r>
      <w:r w:rsidR="00C22129">
        <w:rPr>
          <w:lang w:val="fr-CA"/>
        </w:rPr>
        <w:t xml:space="preserve">de comprendre </w:t>
      </w:r>
      <w:r w:rsidR="00C22129" w:rsidRPr="00F52D1E">
        <w:rPr>
          <w:lang w:val="fr-CA" w:bidi="en-US"/>
        </w:rPr>
        <w:t xml:space="preserve">comment la portée d’un jugement déclaratoire reconnaissant l’existence d’un titre ancestral sur un territoire qui se trouve au Labrador pourrait être </w:t>
      </w:r>
      <w:r w:rsidR="003617B5">
        <w:rPr>
          <w:lang w:val="fr-CA" w:bidi="en-US"/>
        </w:rPr>
        <w:t xml:space="preserve">limitée </w:t>
      </w:r>
      <w:r w:rsidR="00C22129">
        <w:rPr>
          <w:lang w:val="fr-CA" w:bidi="en-US"/>
        </w:rPr>
        <w:t>conformément aux impératifs du fédéralisme canadien</w:t>
      </w:r>
      <w:r w:rsidR="00C22129" w:rsidRPr="00F52D1E">
        <w:rPr>
          <w:lang w:val="fr-CA" w:bidi="en-US"/>
        </w:rPr>
        <w:t>.</w:t>
      </w:r>
      <w:r w:rsidR="00C22129">
        <w:rPr>
          <w:lang w:val="fr-CA" w:bidi="en-US"/>
        </w:rPr>
        <w:t xml:space="preserve"> </w:t>
      </w:r>
      <w:r w:rsidR="00C22129">
        <w:rPr>
          <w:lang w:val="fr-CA"/>
        </w:rPr>
        <w:t>L</w:t>
      </w:r>
      <w:r w:rsidR="00C22129" w:rsidRPr="00F52D1E">
        <w:rPr>
          <w:lang w:val="fr-CA"/>
        </w:rPr>
        <w:t>a Couronne doit donc être partie aux procédures de revendications de titres ancestraux — et doit nécessairement être partie prenante au moment d’une dé</w:t>
      </w:r>
      <w:r>
        <w:rPr>
          <w:lang w:val="fr-CA"/>
        </w:rPr>
        <w:t xml:space="preserve">claration d’un titre ancestral. </w:t>
      </w:r>
      <w:r w:rsidR="00755547">
        <w:rPr>
          <w:lang w:val="fr-CA"/>
        </w:rPr>
        <w:t>De plu</w:t>
      </w:r>
      <w:r w:rsidR="00C22129">
        <w:rPr>
          <w:lang w:val="fr-CA"/>
        </w:rPr>
        <w:t xml:space="preserve">s, cette approche est la source d’une forte possibilité de jugements contradictoires et de confusion, et elle </w:t>
      </w:r>
      <w:r w:rsidR="00C22129" w:rsidRPr="00F52D1E">
        <w:rPr>
          <w:lang w:val="fr-CA"/>
        </w:rPr>
        <w:t xml:space="preserve">autoriserait la Cour supérieure d’une province à se prononcer, accessoirement à une </w:t>
      </w:r>
      <w:r w:rsidR="00C22129" w:rsidRPr="003617B5">
        <w:rPr>
          <w:lang w:val="fr-CA"/>
        </w:rPr>
        <w:t>demande</w:t>
      </w:r>
      <w:r w:rsidR="00C22129" w:rsidRPr="00F52D1E">
        <w:rPr>
          <w:i/>
          <w:lang w:val="fr-CA"/>
        </w:rPr>
        <w:t xml:space="preserve"> in personam</w:t>
      </w:r>
      <w:r w:rsidR="00C22129" w:rsidRPr="00F52D1E">
        <w:rPr>
          <w:lang w:val="fr-CA"/>
        </w:rPr>
        <w:t xml:space="preserve">, </w:t>
      </w:r>
      <w:r w:rsidR="003617B5">
        <w:rPr>
          <w:lang w:val="fr-CA"/>
        </w:rPr>
        <w:t>quant à</w:t>
      </w:r>
      <w:r w:rsidR="00C22129" w:rsidRPr="00F52D1E">
        <w:rPr>
          <w:lang w:val="fr-CA"/>
        </w:rPr>
        <w:t xml:space="preserve"> l’existence d’un titre ancestral sur un territoire situé dans une province autre que celle où elle se trouve.</w:t>
      </w:r>
      <w:r w:rsidR="00C22129">
        <w:rPr>
          <w:lang w:val="fr-CA"/>
        </w:rPr>
        <w:t xml:space="preserve"> L</w:t>
      </w:r>
      <w:r w:rsidR="00C22129" w:rsidRPr="00F52D1E">
        <w:rPr>
          <w:lang w:val="fr-CA"/>
        </w:rPr>
        <w:t>’application de ce principe ne p</w:t>
      </w:r>
      <w:r w:rsidR="003617B5">
        <w:rPr>
          <w:lang w:val="fr-CA"/>
        </w:rPr>
        <w:t>eu</w:t>
      </w:r>
      <w:r w:rsidR="00C22129" w:rsidRPr="00F52D1E">
        <w:rPr>
          <w:lang w:val="fr-CA"/>
        </w:rPr>
        <w:t xml:space="preserve">t être restreinte à la </w:t>
      </w:r>
      <w:r w:rsidR="00C22129" w:rsidRPr="00C22129">
        <w:rPr>
          <w:lang w:val="fr-CA"/>
        </w:rPr>
        <w:t>présente cause</w:t>
      </w:r>
      <w:r w:rsidR="003617B5">
        <w:rPr>
          <w:lang w:val="fr-CA"/>
        </w:rPr>
        <w:t xml:space="preserve"> et aux provinces concernées en l’espèce</w:t>
      </w:r>
      <w:r w:rsidR="00C22129" w:rsidRPr="00C22129">
        <w:rPr>
          <w:lang w:val="fr-CA"/>
        </w:rPr>
        <w:t>.</w:t>
      </w:r>
    </w:p>
    <w:p w:rsidR="00F731C9" w:rsidRPr="00C22129" w:rsidRDefault="00C22129" w:rsidP="00F731C9">
      <w:pPr>
        <w:pStyle w:val="SCCNormalDoubleSpacing"/>
        <w:spacing w:after="480"/>
        <w:rPr>
          <w:lang w:val="fr-CA"/>
        </w:rPr>
      </w:pPr>
      <w:r w:rsidRPr="00A17B5B">
        <w:rPr>
          <w:lang w:val="fr-CA"/>
        </w:rPr>
        <w:tab/>
      </w:r>
      <w:r w:rsidRPr="00C22129">
        <w:rPr>
          <w:lang w:val="fr-CA"/>
        </w:rPr>
        <w:t xml:space="preserve">Qui plus est, cette approche est incompatible avec le principe de l’immunité de la Couronne. </w:t>
      </w:r>
      <w:r w:rsidR="006D20EA">
        <w:rPr>
          <w:lang w:val="fr-CA"/>
        </w:rPr>
        <w:t>L</w:t>
      </w:r>
      <w:r w:rsidR="006D20EA" w:rsidRPr="00F52D1E">
        <w:rPr>
          <w:lang w:val="fr-CA"/>
        </w:rPr>
        <w:t xml:space="preserve">a revendication d’un titre ancestral concerne </w:t>
      </w:r>
      <w:r w:rsidR="006D20EA" w:rsidRPr="006D20EA">
        <w:rPr>
          <w:lang w:val="fr-CA"/>
        </w:rPr>
        <w:t>nécessairement la Couronne</w:t>
      </w:r>
      <w:r w:rsidR="006D20EA" w:rsidRPr="00F52D1E">
        <w:rPr>
          <w:lang w:val="fr-CA"/>
        </w:rPr>
        <w:t>.</w:t>
      </w:r>
      <w:r w:rsidR="006D20EA">
        <w:rPr>
          <w:lang w:val="fr-CA"/>
        </w:rPr>
        <w:t xml:space="preserve"> </w:t>
      </w:r>
      <w:r w:rsidR="006D20EA" w:rsidRPr="00F52D1E">
        <w:rPr>
          <w:lang w:val="fr-CA"/>
        </w:rPr>
        <w:t>Contrairement aux litiges ordinaires en matière foncière qui opposent des parties privées dans un cadre de droit privé, la revendication d’un titre ancestral touche l’essence même de la souveraineté de la Couronne et entraîne des obligations pour elle.</w:t>
      </w:r>
      <w:r w:rsidR="006D20EA">
        <w:rPr>
          <w:lang w:val="fr-CA"/>
        </w:rPr>
        <w:t xml:space="preserve"> </w:t>
      </w:r>
      <w:r w:rsidR="006D20EA" w:rsidRPr="00F52D1E">
        <w:rPr>
          <w:lang w:val="fr-CA"/>
        </w:rPr>
        <w:t>Non seulement la présence de la Couronne est</w:t>
      </w:r>
      <w:r w:rsidR="006D20EA" w:rsidRPr="00F52D1E">
        <w:rPr>
          <w:lang w:val="fr-CA"/>
        </w:rPr>
        <w:noBreakHyphen/>
        <w:t>elle nécessaire par principe, mais elle aide en outre à garantir que les questions sont entendues équitablement. On ne peut tenir pour acquis que des parties privées ont quelque connaissance que ce soit quant à l’occupation du territoire au moment où la Couronne a affirmé sa souveraineté</w:t>
      </w:r>
      <w:r w:rsidR="006D20EA">
        <w:rPr>
          <w:lang w:val="fr-CA"/>
        </w:rPr>
        <w:t>.</w:t>
      </w:r>
    </w:p>
    <w:p w:rsidR="00F731C9" w:rsidRPr="006D20EA" w:rsidRDefault="00C70E7E" w:rsidP="00C70E7E">
      <w:pPr>
        <w:pStyle w:val="SCCNormalDoubleSpacing"/>
        <w:spacing w:after="480"/>
        <w:rPr>
          <w:lang w:val="fr-CA"/>
        </w:rPr>
      </w:pPr>
      <w:r>
        <w:rPr>
          <w:lang w:val="fr-CA"/>
        </w:rPr>
        <w:lastRenderedPageBreak/>
        <w:tab/>
      </w:r>
      <w:r w:rsidR="006D20EA" w:rsidRPr="006D20EA">
        <w:rPr>
          <w:lang w:val="fr-CA"/>
        </w:rPr>
        <w:t>Enfin, cette approche</w:t>
      </w:r>
      <w:r w:rsidR="006D20EA">
        <w:rPr>
          <w:lang w:val="fr-CA"/>
        </w:rPr>
        <w:t xml:space="preserve"> constitue en outre un obstacle à l’accès à la justice. S</w:t>
      </w:r>
      <w:r w:rsidR="006D20EA" w:rsidRPr="00F52D1E">
        <w:rPr>
          <w:lang w:val="fr-CA" w:bidi="en-US"/>
        </w:rPr>
        <w:t xml:space="preserve">i l’ordonnance n’a qu’un effet incertain, qui porte à confusion, ou qui s’avère plus restreint que prévu, elle constitue </w:t>
      </w:r>
      <w:r w:rsidR="006D20EA">
        <w:rPr>
          <w:lang w:val="fr-CA" w:bidi="en-US"/>
        </w:rPr>
        <w:t xml:space="preserve">un </w:t>
      </w:r>
      <w:r w:rsidR="006D20EA" w:rsidRPr="006D20EA">
        <w:rPr>
          <w:lang w:val="fr-CA" w:bidi="en-US"/>
        </w:rPr>
        <w:t xml:space="preserve">échec </w:t>
      </w:r>
      <w:r w:rsidR="006D20EA">
        <w:rPr>
          <w:lang w:val="fr-CA" w:bidi="en-US"/>
        </w:rPr>
        <w:t xml:space="preserve">en matière </w:t>
      </w:r>
      <w:r w:rsidR="006D20EA" w:rsidRPr="00CA1F3D">
        <w:rPr>
          <w:lang w:val="fr-CA" w:bidi="en-US"/>
        </w:rPr>
        <w:t>d’accès à la justice</w:t>
      </w:r>
      <w:r w:rsidR="003617B5" w:rsidRPr="00CA1F3D">
        <w:rPr>
          <w:lang w:val="fr-CA" w:bidi="en-US"/>
        </w:rPr>
        <w:t>.</w:t>
      </w:r>
      <w:r w:rsidR="006D20EA" w:rsidRPr="00CA1F3D">
        <w:rPr>
          <w:lang w:val="fr-CA" w:bidi="en-US"/>
        </w:rPr>
        <w:t xml:space="preserve"> </w:t>
      </w:r>
      <w:r w:rsidR="00F32786" w:rsidRPr="00CA1F3D">
        <w:rPr>
          <w:lang w:val="fr-CA"/>
        </w:rPr>
        <w:t>De plus,</w:t>
      </w:r>
      <w:r w:rsidR="00F32786">
        <w:rPr>
          <w:lang w:val="fr-CA"/>
        </w:rPr>
        <w:t xml:space="preserve"> l’accès à la justice est</w:t>
      </w:r>
      <w:r w:rsidR="00F731C9" w:rsidRPr="006445CF">
        <w:rPr>
          <w:lang w:val="fr-CA"/>
        </w:rPr>
        <w:t xml:space="preserve"> une condition essentiell</w:t>
      </w:r>
      <w:r w:rsidR="00F32786">
        <w:rPr>
          <w:lang w:val="fr-CA"/>
        </w:rPr>
        <w:t>e de la primauté du droit.</w:t>
      </w:r>
      <w:r w:rsidR="00F731C9" w:rsidRPr="006445CF">
        <w:rPr>
          <w:lang w:val="fr-CA"/>
        </w:rPr>
        <w:t xml:space="preserve"> Sans adaptations procédurales, obliger les autochtones à introduire puis à instruire dans plusieurs forums différents des demandes en reconnaissance et en protection de droits ancestraux sur différentes parties d’un seul et même territoire traditionnel qui chevauche les frontières entre différentes provinces nuit à l’accès à la justice et mine la possibilité d’une résolution efficace et rapide d’une revendication transfrontaliè</w:t>
      </w:r>
      <w:r w:rsidR="00F32786">
        <w:rPr>
          <w:lang w:val="fr-CA"/>
        </w:rPr>
        <w:t>re de droits ancestraux. Toutefois</w:t>
      </w:r>
      <w:r w:rsidR="00F731C9" w:rsidRPr="006445CF">
        <w:rPr>
          <w:lang w:val="fr-CA"/>
        </w:rPr>
        <w:t>, la résolution efficace, rapide et économique d’une revendication transfrontalière de droits ancestraux doit être assurée d’une façon qui soit compatible avec le système juridique c</w:t>
      </w:r>
      <w:r w:rsidR="00F32786">
        <w:rPr>
          <w:lang w:val="fr-CA"/>
        </w:rPr>
        <w:t>anadien dans son ensemble.</w:t>
      </w:r>
      <w:r w:rsidR="00F731C9" w:rsidRPr="006445CF">
        <w:rPr>
          <w:lang w:val="fr-CA"/>
        </w:rPr>
        <w:t xml:space="preserve"> Le fédéralisme et la souverain</w:t>
      </w:r>
      <w:r w:rsidR="00F32786">
        <w:rPr>
          <w:lang w:val="fr-CA"/>
        </w:rPr>
        <w:t xml:space="preserve">eté de la couronne provinciale </w:t>
      </w:r>
      <w:r w:rsidR="00B53A54">
        <w:rPr>
          <w:lang w:val="fr-CA"/>
        </w:rPr>
        <w:t>n’empêchent pas</w:t>
      </w:r>
      <w:r w:rsidR="00F731C9" w:rsidRPr="006445CF">
        <w:rPr>
          <w:lang w:val="fr-CA"/>
        </w:rPr>
        <w:t xml:space="preserve"> les cours supérieures, dans l’exercice de</w:t>
      </w:r>
      <w:r w:rsidR="00F32786">
        <w:rPr>
          <w:lang w:val="fr-CA"/>
        </w:rPr>
        <w:t xml:space="preserve"> leur compétence inhérente, d’</w:t>
      </w:r>
      <w:r w:rsidR="00F731C9" w:rsidRPr="006445CF">
        <w:rPr>
          <w:lang w:val="fr-CA"/>
        </w:rPr>
        <w:t>apporter à ces défis pratiques des solutions qui soient à la fois créatives et constitutionnelles, tout en favorisa</w:t>
      </w:r>
      <w:r w:rsidR="00F32786">
        <w:rPr>
          <w:lang w:val="fr-CA"/>
        </w:rPr>
        <w:t xml:space="preserve">nt l’accès à la justice. </w:t>
      </w:r>
      <w:r w:rsidR="00F731C9" w:rsidRPr="006445CF">
        <w:rPr>
          <w:lang w:val="fr-CA"/>
        </w:rPr>
        <w:t xml:space="preserve">L’arrêt </w:t>
      </w:r>
      <w:r w:rsidR="00B53A54">
        <w:rPr>
          <w:i/>
          <w:lang w:val="fr-CA"/>
        </w:rPr>
        <w:t>Endean c. Colombie</w:t>
      </w:r>
      <w:r w:rsidR="00B53A54">
        <w:rPr>
          <w:i/>
          <w:lang w:val="fr-CA"/>
        </w:rPr>
        <w:noBreakHyphen/>
      </w:r>
      <w:r w:rsidR="00F731C9" w:rsidRPr="006445CF">
        <w:rPr>
          <w:i/>
          <w:lang w:val="fr-CA"/>
        </w:rPr>
        <w:t>Britannique</w:t>
      </w:r>
      <w:r w:rsidR="00F731C9" w:rsidRPr="006445CF">
        <w:rPr>
          <w:lang w:val="fr-CA"/>
        </w:rPr>
        <w:t>, 2016 CSC 42, [201</w:t>
      </w:r>
      <w:r w:rsidR="003F24BA">
        <w:rPr>
          <w:lang w:val="fr-CA"/>
        </w:rPr>
        <w:t>6] 2 R.C.S. 162</w:t>
      </w:r>
      <w:r w:rsidR="00F32786">
        <w:rPr>
          <w:lang w:val="fr-CA"/>
        </w:rPr>
        <w:t>,</w:t>
      </w:r>
      <w:r w:rsidR="00F731C9" w:rsidRPr="006445CF">
        <w:rPr>
          <w:lang w:val="fr-CA"/>
        </w:rPr>
        <w:t xml:space="preserve"> autorise les juges des cours supérieures de différentes provinces à puiser à même la compétence qui leur est conférée par la loi ⸺ ou, si nécessaire, à même leur compétence inhérente ⸺ afin de siéger ensemble pour entendre conjointement des demandes qui ont été introduites devant les cours supérieures de plus d’une province du fait qu’elles visent la reconnaissance et la protection de droits ancestraux sur différentes parties d’un seul et même territoire traditionnel qui chevauche les front</w:t>
      </w:r>
      <w:r w:rsidR="00F32786">
        <w:rPr>
          <w:lang w:val="fr-CA"/>
        </w:rPr>
        <w:t>ières entre ces provinces.</w:t>
      </w:r>
      <w:r w:rsidR="00F731C9" w:rsidRPr="006445CF">
        <w:rPr>
          <w:lang w:val="fr-CA"/>
        </w:rPr>
        <w:t xml:space="preserve"> Si les juges des cours supérieures siègent ensemble au cours d’une seule et même audience conjointe résultant d’une jonction des demandes introduites devant chacune des cours supérieures concernées, une revendication transfrontalière de droits ancestraux a de </w:t>
      </w:r>
      <w:r w:rsidR="00F731C9" w:rsidRPr="006445CF">
        <w:rPr>
          <w:lang w:val="fr-CA"/>
        </w:rPr>
        <w:lastRenderedPageBreak/>
        <w:t>meilleures chances d’être résolue de manière efficac</w:t>
      </w:r>
      <w:r w:rsidR="00F32786">
        <w:rPr>
          <w:lang w:val="fr-CA"/>
        </w:rPr>
        <w:t>e, rapide et économique. Toutefois,</w:t>
      </w:r>
      <w:r w:rsidR="00F731C9" w:rsidRPr="006445CF">
        <w:rPr>
          <w:lang w:val="fr-CA"/>
        </w:rPr>
        <w:t xml:space="preserve"> en l’espèce, l’omission des I</w:t>
      </w:r>
      <w:r w:rsidR="00F32786">
        <w:rPr>
          <w:lang w:val="fr-CA"/>
        </w:rPr>
        <w:t xml:space="preserve">nnus d’introduire des demandes </w:t>
      </w:r>
      <w:r w:rsidR="00F731C9" w:rsidRPr="006445CF">
        <w:rPr>
          <w:lang w:val="fr-CA"/>
        </w:rPr>
        <w:t>devant chacune d</w:t>
      </w:r>
      <w:r w:rsidR="00F32786">
        <w:rPr>
          <w:lang w:val="fr-CA"/>
        </w:rPr>
        <w:t xml:space="preserve">es cours supérieures concernées constitue </w:t>
      </w:r>
      <w:r w:rsidR="00F731C9" w:rsidRPr="006445CF">
        <w:rPr>
          <w:lang w:val="fr-CA"/>
        </w:rPr>
        <w:t>j</w:t>
      </w:r>
      <w:r w:rsidR="00F32786">
        <w:rPr>
          <w:lang w:val="fr-CA"/>
        </w:rPr>
        <w:t>usqu’à présent</w:t>
      </w:r>
      <w:r w:rsidR="00F731C9" w:rsidRPr="006445CF">
        <w:rPr>
          <w:lang w:val="fr-CA"/>
        </w:rPr>
        <w:t xml:space="preserve"> un obstacle majeur à la capacité constitutionnelle des cours supérieures de disposer adéquatement de leur revendication transfr</w:t>
      </w:r>
      <w:r w:rsidR="008B19D5">
        <w:rPr>
          <w:lang w:val="fr-CA"/>
        </w:rPr>
        <w:t>ontalière de droits ancestraux.</w:t>
      </w:r>
    </w:p>
    <w:p w:rsidR="004D7D95" w:rsidRDefault="004D7D95" w:rsidP="008B19D5">
      <w:pPr>
        <w:pStyle w:val="SCCNormalDoubleSpacing"/>
        <w:spacing w:after="720" w:line="240" w:lineRule="auto"/>
        <w:rPr>
          <w:b/>
          <w:lang w:val="fr-CA"/>
        </w:rPr>
      </w:pPr>
      <w:r w:rsidRPr="004D7D95">
        <w:rPr>
          <w:b/>
          <w:lang w:val="fr-CA"/>
        </w:rPr>
        <w:t>Jurisprudence</w:t>
      </w:r>
    </w:p>
    <w:p w:rsidR="004D7D95" w:rsidRPr="009F72D8" w:rsidRDefault="00093A81" w:rsidP="008B19D5">
      <w:pPr>
        <w:pStyle w:val="SCCNormalDoubleSpacing"/>
        <w:spacing w:after="720" w:line="240" w:lineRule="auto"/>
        <w:rPr>
          <w:lang w:val="fr-CA"/>
        </w:rPr>
      </w:pPr>
      <w:r w:rsidRPr="009F72D8">
        <w:rPr>
          <w:lang w:val="fr-CA"/>
        </w:rPr>
        <w:t>Citée par le juge en chef Wagner et les juges Abella et Karakatsanis</w:t>
      </w:r>
    </w:p>
    <w:p w:rsidR="00AC6366" w:rsidRDefault="004D7D95" w:rsidP="00ED101B">
      <w:pPr>
        <w:pStyle w:val="SCCNormalDoubleSpacing"/>
        <w:spacing w:after="480"/>
        <w:rPr>
          <w:lang w:val="en-US"/>
        </w:rPr>
      </w:pPr>
      <w:r w:rsidRPr="009F72D8">
        <w:rPr>
          <w:lang w:val="fr-CA"/>
        </w:rPr>
        <w:tab/>
      </w:r>
      <w:r w:rsidR="00430868" w:rsidRPr="00430868">
        <w:rPr>
          <w:b/>
          <w:lang w:val="fr-CA"/>
        </w:rPr>
        <w:t>Arrêt examiné :</w:t>
      </w:r>
      <w:r w:rsidR="00430868">
        <w:rPr>
          <w:lang w:val="fr-CA"/>
        </w:rPr>
        <w:t xml:space="preserve"> </w:t>
      </w:r>
      <w:r w:rsidR="00430868" w:rsidRPr="00F361CF">
        <w:rPr>
          <w:i/>
          <w:szCs w:val="24"/>
          <w:lang w:val="fr-CA"/>
        </w:rPr>
        <w:t>Ciment du Saint</w:t>
      </w:r>
      <w:r w:rsidR="00430868">
        <w:rPr>
          <w:i/>
          <w:szCs w:val="24"/>
          <w:lang w:val="fr-CA"/>
        </w:rPr>
        <w:noBreakHyphen/>
      </w:r>
      <w:r w:rsidR="00430868" w:rsidRPr="00F361CF">
        <w:rPr>
          <w:i/>
          <w:szCs w:val="24"/>
          <w:lang w:val="fr-CA"/>
        </w:rPr>
        <w:t>Laurent inc. c. Barrette</w:t>
      </w:r>
      <w:r w:rsidR="00430868" w:rsidRPr="00F361CF">
        <w:rPr>
          <w:szCs w:val="24"/>
          <w:lang w:val="fr-CA"/>
        </w:rPr>
        <w:t>, 2008 CSC 64, [2008] 3 R.C.S. 392;</w:t>
      </w:r>
      <w:r w:rsidR="00430868">
        <w:rPr>
          <w:szCs w:val="24"/>
          <w:lang w:val="fr-CA"/>
        </w:rPr>
        <w:t xml:space="preserve"> </w:t>
      </w:r>
      <w:r w:rsidR="002B1FDD">
        <w:rPr>
          <w:b/>
          <w:lang w:val="fr-CA"/>
        </w:rPr>
        <w:t>a</w:t>
      </w:r>
      <w:r w:rsidRPr="004D18E9">
        <w:rPr>
          <w:b/>
          <w:lang w:val="fr-CA"/>
        </w:rPr>
        <w:t>rrêts mentionnés</w:t>
      </w:r>
      <w:r w:rsidR="000916C5" w:rsidRPr="004D18E9">
        <w:rPr>
          <w:b/>
          <w:lang w:val="fr-CA"/>
        </w:rPr>
        <w:t> :</w:t>
      </w:r>
      <w:r w:rsidRPr="004D18E9">
        <w:rPr>
          <w:lang w:val="fr-CA"/>
        </w:rPr>
        <w:t xml:space="preserve"> </w:t>
      </w:r>
      <w:r w:rsidR="0001211B" w:rsidRPr="004D18E9">
        <w:rPr>
          <w:i/>
          <w:lang w:val="fr-CA"/>
        </w:rPr>
        <w:t>Spar Aerospace</w:t>
      </w:r>
      <w:r w:rsidR="0001211B" w:rsidRPr="00211435">
        <w:rPr>
          <w:i/>
          <w:lang w:val="fr-CA"/>
        </w:rPr>
        <w:t xml:space="preserve"> Ltée c. American Mobile Satellite Corp.</w:t>
      </w:r>
      <w:r w:rsidR="0001211B" w:rsidRPr="00211435">
        <w:rPr>
          <w:lang w:val="fr-CA"/>
        </w:rPr>
        <w:t>, 2002 CSC 78, [2002] 4 R.C.S. 205;</w:t>
      </w:r>
      <w:r w:rsidR="003A5333" w:rsidRPr="00211435">
        <w:rPr>
          <w:i/>
          <w:lang w:val="fr-CA"/>
        </w:rPr>
        <w:t xml:space="preserve"> R. c. Sharpe</w:t>
      </w:r>
      <w:r w:rsidR="003A5333" w:rsidRPr="00211435">
        <w:rPr>
          <w:lang w:val="fr-CA"/>
        </w:rPr>
        <w:t>, 2001 CSC 2, [2001] 1 R.C.S. 45;</w:t>
      </w:r>
      <w:r w:rsidR="00AE1B9E" w:rsidRPr="00211435">
        <w:rPr>
          <w:bCs/>
          <w:color w:val="000000"/>
          <w:lang w:val="fr-CA"/>
        </w:rPr>
        <w:t xml:space="preserve"> </w:t>
      </w:r>
      <w:r w:rsidR="00AE1B9E" w:rsidRPr="00211435">
        <w:rPr>
          <w:bCs/>
          <w:i/>
          <w:lang w:val="fr-CA"/>
        </w:rPr>
        <w:t>Solski (Tuteur de) </w:t>
      </w:r>
      <w:r w:rsidR="00AE1B9E" w:rsidRPr="00211435">
        <w:rPr>
          <w:bCs/>
          <w:i/>
          <w:iCs/>
          <w:lang w:val="fr-CA"/>
        </w:rPr>
        <w:t>c</w:t>
      </w:r>
      <w:r w:rsidR="00AE1B9E" w:rsidRPr="00211435">
        <w:rPr>
          <w:bCs/>
          <w:i/>
          <w:lang w:val="fr-CA"/>
        </w:rPr>
        <w:t>. Québec (Procureur général)</w:t>
      </w:r>
      <w:r w:rsidR="00AE1B9E" w:rsidRPr="00211435">
        <w:rPr>
          <w:bCs/>
          <w:lang w:val="fr-CA"/>
        </w:rPr>
        <w:t>, 2005 CSC 14, [2005] 1 R.C.S. 201;</w:t>
      </w:r>
      <w:r w:rsidR="00EE3F3C" w:rsidRPr="00211435">
        <w:rPr>
          <w:bCs/>
          <w:lang w:val="fr-CA"/>
        </w:rPr>
        <w:t xml:space="preserve"> </w:t>
      </w:r>
      <w:r w:rsidR="00EE3F3C" w:rsidRPr="00211435">
        <w:rPr>
          <w:bCs/>
          <w:i/>
          <w:lang w:val="fr-CA"/>
        </w:rPr>
        <w:t>Renvoi rela</w:t>
      </w:r>
      <w:r w:rsidR="00EE3F3C" w:rsidRPr="00594D3B">
        <w:rPr>
          <w:bCs/>
          <w:i/>
          <w:lang w:val="fr-CA"/>
        </w:rPr>
        <w:t>tif à la sécession du Québec</w:t>
      </w:r>
      <w:r w:rsidR="00EE3F3C" w:rsidRPr="00594D3B">
        <w:rPr>
          <w:bCs/>
          <w:lang w:val="fr-CA"/>
        </w:rPr>
        <w:t>, [1998] 2 R.C.S. 217;</w:t>
      </w:r>
      <w:r w:rsidR="00D94BA6" w:rsidRPr="00594D3B">
        <w:rPr>
          <w:i/>
          <w:color w:val="000000"/>
          <w:lang w:val="fr-CA"/>
        </w:rPr>
        <w:t xml:space="preserve"> Trial Lawyers Association of British Columbia c. Colombie</w:t>
      </w:r>
      <w:r w:rsidR="000916C5" w:rsidRPr="00594D3B">
        <w:rPr>
          <w:i/>
          <w:color w:val="000000"/>
          <w:lang w:val="fr-CA"/>
        </w:rPr>
        <w:noBreakHyphen/>
      </w:r>
      <w:r w:rsidR="00D94BA6" w:rsidRPr="00594D3B">
        <w:rPr>
          <w:i/>
          <w:color w:val="000000"/>
          <w:lang w:val="fr-CA"/>
        </w:rPr>
        <w:t>Britannique (Procureur général)</w:t>
      </w:r>
      <w:r w:rsidR="00D94BA6" w:rsidRPr="00594D3B">
        <w:rPr>
          <w:color w:val="000000"/>
          <w:lang w:val="fr-CA"/>
        </w:rPr>
        <w:t>, 2014 CSC 59, [2014] 3 R.C.S. 31;</w:t>
      </w:r>
      <w:r w:rsidR="00E75123" w:rsidRPr="00594D3B">
        <w:rPr>
          <w:i/>
          <w:color w:val="000000"/>
          <w:lang w:val="fr-CA"/>
        </w:rPr>
        <w:t xml:space="preserve"> CGAO c. Groupe Anderson inc.</w:t>
      </w:r>
      <w:r w:rsidR="00E75123" w:rsidRPr="00594D3B">
        <w:rPr>
          <w:color w:val="000000"/>
          <w:lang w:val="fr-CA"/>
        </w:rPr>
        <w:t>, 2017 QCCA 923;</w:t>
      </w:r>
      <w:r w:rsidR="00265DD4" w:rsidRPr="00594D3B">
        <w:rPr>
          <w:i/>
          <w:color w:val="000000"/>
          <w:lang w:val="fr-CA"/>
        </w:rPr>
        <w:t xml:space="preserve"> Bern c. Bern</w:t>
      </w:r>
      <w:r w:rsidR="00265DD4" w:rsidRPr="00594D3B">
        <w:rPr>
          <w:color w:val="000000"/>
          <w:lang w:val="fr-CA"/>
        </w:rPr>
        <w:t>, [1995] R.D.J. 510;</w:t>
      </w:r>
      <w:r w:rsidR="00B53269" w:rsidRPr="00594D3B">
        <w:rPr>
          <w:i/>
          <w:color w:val="000000"/>
          <w:lang w:val="fr-CA"/>
        </w:rPr>
        <w:t xml:space="preserve"> R. c. Van der Peet</w:t>
      </w:r>
      <w:r w:rsidR="00B53269" w:rsidRPr="00594D3B">
        <w:rPr>
          <w:color w:val="000000"/>
          <w:lang w:val="fr-CA"/>
        </w:rPr>
        <w:t>, [1996] 2 R.C.S. 507;</w:t>
      </w:r>
      <w:r w:rsidR="00D67ADB" w:rsidRPr="00594D3B">
        <w:rPr>
          <w:color w:val="000000"/>
          <w:lang w:val="fr-CA"/>
        </w:rPr>
        <w:t xml:space="preserve"> </w:t>
      </w:r>
      <w:r w:rsidR="00D67ADB" w:rsidRPr="00594D3B">
        <w:rPr>
          <w:i/>
          <w:color w:val="000000"/>
          <w:lang w:val="fr-CA"/>
        </w:rPr>
        <w:t>R. c. Sparrow</w:t>
      </w:r>
      <w:r w:rsidR="00D67ADB" w:rsidRPr="00594D3B">
        <w:rPr>
          <w:color w:val="000000"/>
          <w:lang w:val="fr-CA"/>
        </w:rPr>
        <w:t>, [1990] 1 R.C.S. 1075;</w:t>
      </w:r>
      <w:r w:rsidR="00B46713" w:rsidRPr="00594D3B">
        <w:rPr>
          <w:color w:val="000000"/>
          <w:lang w:val="fr-CA"/>
        </w:rPr>
        <w:t xml:space="preserve"> </w:t>
      </w:r>
      <w:r w:rsidR="00B46713" w:rsidRPr="00594D3B">
        <w:rPr>
          <w:i/>
          <w:color w:val="000000"/>
          <w:lang w:val="fr-CA"/>
        </w:rPr>
        <w:t>Première nation crie Mikisew c. Canada (Ministre du Patrimoine canadien)</w:t>
      </w:r>
      <w:r w:rsidR="00B46713" w:rsidRPr="00594D3B">
        <w:rPr>
          <w:color w:val="000000"/>
          <w:lang w:val="fr-CA"/>
        </w:rPr>
        <w:t>, 2005 CSC 69, [2005] 3 R.C.S. 388;</w:t>
      </w:r>
      <w:r w:rsidR="00FF0228" w:rsidRPr="00594D3B">
        <w:rPr>
          <w:color w:val="000000"/>
          <w:lang w:val="fr-CA"/>
        </w:rPr>
        <w:t xml:space="preserve"> </w:t>
      </w:r>
      <w:r w:rsidR="00FF0228" w:rsidRPr="00594D3B">
        <w:rPr>
          <w:i/>
          <w:color w:val="000000"/>
          <w:lang w:val="fr-CA"/>
        </w:rPr>
        <w:t>Nation haïda c. Colombie</w:t>
      </w:r>
      <w:r w:rsidR="000916C5" w:rsidRPr="00594D3B">
        <w:rPr>
          <w:i/>
          <w:color w:val="000000"/>
          <w:lang w:val="fr-CA"/>
        </w:rPr>
        <w:noBreakHyphen/>
      </w:r>
      <w:r w:rsidR="00FF0228" w:rsidRPr="00594D3B">
        <w:rPr>
          <w:i/>
          <w:color w:val="000000"/>
          <w:lang w:val="fr-CA"/>
        </w:rPr>
        <w:t>Britannique (Ministre des Forêts)</w:t>
      </w:r>
      <w:r w:rsidR="00FF0228" w:rsidRPr="00594D3B">
        <w:rPr>
          <w:color w:val="000000"/>
          <w:lang w:val="fr-CA"/>
        </w:rPr>
        <w:t>, 2004 CSC 73, [2004] 3 R.C.S. 511;</w:t>
      </w:r>
      <w:r w:rsidR="00F83F3E" w:rsidRPr="00594D3B">
        <w:rPr>
          <w:color w:val="000000"/>
          <w:lang w:val="fr-CA"/>
        </w:rPr>
        <w:t xml:space="preserve"> </w:t>
      </w:r>
      <w:r w:rsidR="00F83F3E" w:rsidRPr="00594D3B">
        <w:rPr>
          <w:i/>
          <w:color w:val="000000"/>
          <w:lang w:val="fr-CA"/>
        </w:rPr>
        <w:t>Manitoba Metis Federation Inc. c. Canada (Procureur général)</w:t>
      </w:r>
      <w:r w:rsidR="00F83F3E" w:rsidRPr="00594D3B">
        <w:rPr>
          <w:color w:val="000000"/>
          <w:lang w:val="fr-CA"/>
        </w:rPr>
        <w:t xml:space="preserve">, 2013 CSC 14, </w:t>
      </w:r>
      <w:r w:rsidR="00F83F3E" w:rsidRPr="00594D3B">
        <w:rPr>
          <w:color w:val="000000"/>
          <w:sz w:val="22"/>
          <w:lang w:val="fr-CA"/>
        </w:rPr>
        <w:t>[</w:t>
      </w:r>
      <w:r w:rsidR="00F83F3E" w:rsidRPr="00E154BB">
        <w:rPr>
          <w:color w:val="000000"/>
          <w:szCs w:val="24"/>
          <w:lang w:val="fr-CA"/>
        </w:rPr>
        <w:t>2013</w:t>
      </w:r>
      <w:r w:rsidR="00F83F3E" w:rsidRPr="00594D3B">
        <w:rPr>
          <w:color w:val="000000"/>
          <w:sz w:val="22"/>
          <w:lang w:val="fr-CA"/>
        </w:rPr>
        <w:t xml:space="preserve">] </w:t>
      </w:r>
      <w:r w:rsidR="00F83F3E" w:rsidRPr="00E154BB">
        <w:rPr>
          <w:color w:val="000000"/>
          <w:szCs w:val="24"/>
          <w:lang w:val="fr-CA"/>
        </w:rPr>
        <w:t>1 R.C.S. 623;</w:t>
      </w:r>
      <w:r w:rsidR="00950097" w:rsidRPr="00E154BB">
        <w:rPr>
          <w:i/>
          <w:color w:val="000000"/>
          <w:szCs w:val="24"/>
          <w:lang w:val="fr-CA"/>
        </w:rPr>
        <w:t xml:space="preserve"> Uashaunnuat (Innus de Uashat et de Mani</w:t>
      </w:r>
      <w:r w:rsidR="000916C5" w:rsidRPr="00E154BB">
        <w:rPr>
          <w:i/>
          <w:color w:val="000000"/>
          <w:szCs w:val="24"/>
          <w:lang w:val="fr-CA"/>
        </w:rPr>
        <w:noBreakHyphen/>
      </w:r>
      <w:r w:rsidR="00950097" w:rsidRPr="00E154BB">
        <w:rPr>
          <w:i/>
          <w:color w:val="000000"/>
          <w:szCs w:val="24"/>
          <w:lang w:val="fr-CA"/>
        </w:rPr>
        <w:t>Utenam) c. Compagnie minière IOC inc. (Iron Ore Company of Canada)</w:t>
      </w:r>
      <w:r w:rsidR="00950097" w:rsidRPr="00E154BB">
        <w:rPr>
          <w:color w:val="000000"/>
          <w:szCs w:val="24"/>
          <w:lang w:val="fr-CA"/>
        </w:rPr>
        <w:t xml:space="preserve">, 2014 QCCS 4403, </w:t>
      </w:r>
      <w:r w:rsidR="00974E79" w:rsidRPr="00E154BB">
        <w:rPr>
          <w:color w:val="000000"/>
          <w:szCs w:val="24"/>
          <w:lang w:val="fr-CA"/>
        </w:rPr>
        <w:t>autoris</w:t>
      </w:r>
      <w:r w:rsidR="00974E79">
        <w:rPr>
          <w:color w:val="000000"/>
          <w:lang w:val="fr-CA"/>
        </w:rPr>
        <w:t xml:space="preserve">ation d’appel refusée, </w:t>
      </w:r>
      <w:r w:rsidR="00950097" w:rsidRPr="00594D3B">
        <w:rPr>
          <w:color w:val="000000"/>
          <w:lang w:val="fr-CA"/>
        </w:rPr>
        <w:t>2015 QCCA 2, autorisation d</w:t>
      </w:r>
      <w:r w:rsidR="009F72D8">
        <w:rPr>
          <w:color w:val="000000"/>
          <w:lang w:val="fr-CA"/>
        </w:rPr>
        <w:t>’</w:t>
      </w:r>
      <w:r w:rsidR="00950097" w:rsidRPr="00594D3B">
        <w:rPr>
          <w:color w:val="000000"/>
          <w:lang w:val="fr-CA"/>
        </w:rPr>
        <w:t>appel refus</w:t>
      </w:r>
      <w:r w:rsidR="00C2156C" w:rsidRPr="00594D3B">
        <w:rPr>
          <w:color w:val="000000"/>
          <w:lang w:val="fr-CA"/>
        </w:rPr>
        <w:t>é</w:t>
      </w:r>
      <w:r w:rsidR="00956E2D">
        <w:rPr>
          <w:color w:val="000000"/>
          <w:lang w:val="fr-CA"/>
        </w:rPr>
        <w:t>e</w:t>
      </w:r>
      <w:r w:rsidR="00950097" w:rsidRPr="00594D3B">
        <w:rPr>
          <w:color w:val="000000"/>
          <w:lang w:val="fr-CA"/>
        </w:rPr>
        <w:t xml:space="preserve">, </w:t>
      </w:r>
      <w:r w:rsidR="00C2156C" w:rsidRPr="00594D3B">
        <w:rPr>
          <w:color w:val="000000"/>
          <w:lang w:val="fr-CA"/>
        </w:rPr>
        <w:t>[2015] 3 R.C.S</w:t>
      </w:r>
      <w:r w:rsidR="00950097" w:rsidRPr="00594D3B">
        <w:rPr>
          <w:color w:val="000000"/>
          <w:lang w:val="fr-CA"/>
        </w:rPr>
        <w:t>. vi;</w:t>
      </w:r>
      <w:r w:rsidR="009B3DB7" w:rsidRPr="00594D3B">
        <w:rPr>
          <w:color w:val="000000"/>
          <w:lang w:val="fr-CA"/>
        </w:rPr>
        <w:t xml:space="preserve"> </w:t>
      </w:r>
      <w:r w:rsidR="009B3DB7" w:rsidRPr="00594D3B">
        <w:rPr>
          <w:i/>
          <w:color w:val="000000"/>
          <w:lang w:val="fr-CA"/>
        </w:rPr>
        <w:t>Calder c. Procureur général de la Colombie</w:t>
      </w:r>
      <w:r w:rsidR="000916C5" w:rsidRPr="00594D3B">
        <w:rPr>
          <w:i/>
          <w:color w:val="000000"/>
          <w:lang w:val="fr-CA"/>
        </w:rPr>
        <w:noBreakHyphen/>
      </w:r>
      <w:r w:rsidR="009B3DB7" w:rsidRPr="00594D3B">
        <w:rPr>
          <w:i/>
          <w:color w:val="000000"/>
          <w:lang w:val="fr-CA"/>
        </w:rPr>
        <w:t>Britannique</w:t>
      </w:r>
      <w:r w:rsidR="009B3DB7" w:rsidRPr="00594D3B">
        <w:rPr>
          <w:color w:val="000000"/>
          <w:lang w:val="fr-CA"/>
        </w:rPr>
        <w:t>, [1973] R.C.S. 313;</w:t>
      </w:r>
      <w:r w:rsidR="00D647C2" w:rsidRPr="00594D3B">
        <w:rPr>
          <w:color w:val="000000"/>
          <w:lang w:val="fr-CA"/>
        </w:rPr>
        <w:t xml:space="preserve"> </w:t>
      </w:r>
      <w:r w:rsidR="00D647C2" w:rsidRPr="00594D3B">
        <w:rPr>
          <w:i/>
          <w:color w:val="000000"/>
          <w:lang w:val="fr-CA"/>
        </w:rPr>
        <w:t xml:space="preserve">Guerin c. La </w:t>
      </w:r>
      <w:r w:rsidR="00D647C2" w:rsidRPr="00594D3B">
        <w:rPr>
          <w:i/>
          <w:color w:val="000000"/>
          <w:lang w:val="fr-CA"/>
        </w:rPr>
        <w:lastRenderedPageBreak/>
        <w:t>Reine</w:t>
      </w:r>
      <w:r w:rsidR="00D647C2" w:rsidRPr="00594D3B">
        <w:rPr>
          <w:color w:val="000000"/>
          <w:lang w:val="fr-CA"/>
        </w:rPr>
        <w:t>, [1984] 2 R.C.S. 335;</w:t>
      </w:r>
      <w:r w:rsidR="00BF512E" w:rsidRPr="00594D3B">
        <w:rPr>
          <w:i/>
          <w:color w:val="000000"/>
          <w:lang w:val="fr-CA"/>
        </w:rPr>
        <w:t xml:space="preserve"> Roberts c. Canada</w:t>
      </w:r>
      <w:r w:rsidR="00BF512E" w:rsidRPr="00594D3B">
        <w:rPr>
          <w:color w:val="000000"/>
          <w:lang w:val="fr-CA"/>
        </w:rPr>
        <w:t>, [1989] 1 R.C.S. 322;</w:t>
      </w:r>
      <w:r w:rsidR="00882063" w:rsidRPr="00594D3B">
        <w:rPr>
          <w:i/>
          <w:lang w:val="fr-CA"/>
        </w:rPr>
        <w:t xml:space="preserve"> Delgamuukw c. Colombie</w:t>
      </w:r>
      <w:r w:rsidR="000916C5" w:rsidRPr="00594D3B">
        <w:rPr>
          <w:i/>
          <w:lang w:val="fr-CA"/>
        </w:rPr>
        <w:noBreakHyphen/>
      </w:r>
      <w:r w:rsidR="00882063" w:rsidRPr="00594D3B">
        <w:rPr>
          <w:i/>
          <w:lang w:val="fr-CA"/>
        </w:rPr>
        <w:t>Britannique</w:t>
      </w:r>
      <w:r w:rsidR="00882063" w:rsidRPr="00594D3B">
        <w:rPr>
          <w:lang w:val="fr-CA"/>
        </w:rPr>
        <w:t>, [1997] 3 R.C.S. 1010;</w:t>
      </w:r>
      <w:r w:rsidR="003C7FA9" w:rsidRPr="00594D3B">
        <w:rPr>
          <w:lang w:val="fr-CA"/>
        </w:rPr>
        <w:t xml:space="preserve"> </w:t>
      </w:r>
      <w:r w:rsidR="003C7FA9" w:rsidRPr="00594D3B">
        <w:rPr>
          <w:i/>
          <w:lang w:val="fr-CA"/>
        </w:rPr>
        <w:t>Nation Tsilhqot</w:t>
      </w:r>
      <w:r w:rsidR="009F72D8">
        <w:rPr>
          <w:i/>
          <w:lang w:val="fr-CA"/>
        </w:rPr>
        <w:t>’</w:t>
      </w:r>
      <w:r w:rsidR="003C7FA9" w:rsidRPr="004C3F96">
        <w:rPr>
          <w:i/>
          <w:lang w:val="fr-CA"/>
        </w:rPr>
        <w:t>i</w:t>
      </w:r>
      <w:r w:rsidR="003C7FA9" w:rsidRPr="003C7FA9">
        <w:rPr>
          <w:i/>
          <w:lang w:val="fr-CA"/>
        </w:rPr>
        <w:t>n</w:t>
      </w:r>
      <w:r w:rsidR="003C7FA9">
        <w:rPr>
          <w:i/>
          <w:lang w:val="fr-CA"/>
        </w:rPr>
        <w:t xml:space="preserve"> c. Colombie</w:t>
      </w:r>
      <w:r w:rsidR="000916C5">
        <w:rPr>
          <w:i/>
          <w:lang w:val="fr-CA"/>
        </w:rPr>
        <w:noBreakHyphen/>
      </w:r>
      <w:r w:rsidR="003C7FA9">
        <w:rPr>
          <w:i/>
          <w:lang w:val="fr-CA"/>
        </w:rPr>
        <w:t>Britannique</w:t>
      </w:r>
      <w:r w:rsidR="003C7FA9">
        <w:rPr>
          <w:lang w:val="fr-CA"/>
        </w:rPr>
        <w:t>, 2014 CSC 44, [2014] 2 R.C.S. 257;</w:t>
      </w:r>
      <w:r w:rsidR="004F6A42" w:rsidRPr="004F6A42">
        <w:rPr>
          <w:i/>
          <w:lang w:val="fr-CA"/>
        </w:rPr>
        <w:t xml:space="preserve"> St. Catherine</w:t>
      </w:r>
      <w:r w:rsidR="009F72D8">
        <w:rPr>
          <w:i/>
          <w:lang w:val="fr-CA"/>
        </w:rPr>
        <w:t>’</w:t>
      </w:r>
      <w:r w:rsidR="004F6A42" w:rsidRPr="004F6A42">
        <w:rPr>
          <w:i/>
          <w:lang w:val="fr-CA"/>
        </w:rPr>
        <w:t>s Milling and Lumber Company</w:t>
      </w:r>
      <w:r w:rsidR="004F6A42">
        <w:rPr>
          <w:i/>
          <w:lang w:val="fr-CA"/>
        </w:rPr>
        <w:t xml:space="preserve"> c</w:t>
      </w:r>
      <w:r w:rsidR="004F6A42" w:rsidRPr="004F6A42">
        <w:rPr>
          <w:i/>
          <w:lang w:val="fr-CA"/>
        </w:rPr>
        <w:t>. The Queen</w:t>
      </w:r>
      <w:r w:rsidR="004F6A42" w:rsidRPr="004F6A42">
        <w:rPr>
          <w:lang w:val="fr-CA"/>
        </w:rPr>
        <w:t xml:space="preserve"> (1888), 14 A</w:t>
      </w:r>
      <w:r w:rsidR="000916C5">
        <w:rPr>
          <w:lang w:val="fr-CA"/>
        </w:rPr>
        <w:t>pp. </w:t>
      </w:r>
      <w:r w:rsidR="004F6A42" w:rsidRPr="004F6A42">
        <w:rPr>
          <w:lang w:val="fr-CA"/>
        </w:rPr>
        <w:t xml:space="preserve">Cas. 46; </w:t>
      </w:r>
      <w:r w:rsidR="005E28C4">
        <w:rPr>
          <w:i/>
          <w:lang w:val="fr-CA"/>
        </w:rPr>
        <w:t>Canadien Pacifique Ltée c. Paul</w:t>
      </w:r>
      <w:r w:rsidR="005E28C4">
        <w:rPr>
          <w:lang w:val="fr-CA"/>
        </w:rPr>
        <w:t>, [1988] 2 R.C.S. 654;</w:t>
      </w:r>
      <w:r w:rsidR="004662B9">
        <w:rPr>
          <w:lang w:val="fr-CA"/>
        </w:rPr>
        <w:t xml:space="preserve"> </w:t>
      </w:r>
      <w:r w:rsidR="004662B9">
        <w:rPr>
          <w:i/>
          <w:lang w:val="fr-CA"/>
        </w:rPr>
        <w:t>Bande indienne de la rivière Blueberry c. Canada (Ministère des Affaires indiennes et du Nord canadien)</w:t>
      </w:r>
      <w:r w:rsidR="004662B9">
        <w:rPr>
          <w:lang w:val="fr-CA"/>
        </w:rPr>
        <w:t>, [1995] 4 R.C.S. 344</w:t>
      </w:r>
      <w:r w:rsidR="004662B9" w:rsidRPr="00F361CF">
        <w:rPr>
          <w:szCs w:val="24"/>
          <w:lang w:val="fr-CA"/>
        </w:rPr>
        <w:t>;</w:t>
      </w:r>
      <w:r w:rsidR="00F53F67" w:rsidRPr="00F361CF">
        <w:rPr>
          <w:szCs w:val="24"/>
          <w:lang w:val="fr-CA"/>
        </w:rPr>
        <w:t xml:space="preserve"> </w:t>
      </w:r>
      <w:r w:rsidR="00F53F67" w:rsidRPr="00F361CF">
        <w:rPr>
          <w:i/>
          <w:szCs w:val="24"/>
          <w:lang w:val="fr-CA"/>
        </w:rPr>
        <w:t>Bande indienne de St. Mary</w:t>
      </w:r>
      <w:r w:rsidR="009F72D8">
        <w:rPr>
          <w:i/>
          <w:szCs w:val="24"/>
          <w:lang w:val="fr-CA"/>
        </w:rPr>
        <w:t>’</w:t>
      </w:r>
      <w:r w:rsidR="00F53F67" w:rsidRPr="00F361CF">
        <w:rPr>
          <w:i/>
          <w:szCs w:val="24"/>
          <w:lang w:val="fr-CA"/>
        </w:rPr>
        <w:t>s c. Cranbrook (Ville)</w:t>
      </w:r>
      <w:r w:rsidR="00F53F67" w:rsidRPr="00F361CF">
        <w:rPr>
          <w:szCs w:val="24"/>
          <w:lang w:val="fr-CA"/>
        </w:rPr>
        <w:t>, [1997] 2 R.C.S. 657;</w:t>
      </w:r>
      <w:r w:rsidR="00F53F67" w:rsidRPr="00F361CF">
        <w:rPr>
          <w:i/>
          <w:szCs w:val="24"/>
          <w:lang w:val="fr-CA"/>
        </w:rPr>
        <w:t xml:space="preserve"> R. c. Marshall</w:t>
      </w:r>
      <w:r w:rsidR="00F53F67" w:rsidRPr="00F361CF">
        <w:rPr>
          <w:szCs w:val="24"/>
          <w:lang w:val="fr-CA"/>
        </w:rPr>
        <w:t>, 2005 CSC 43, [2005] 2 R.C.S. 220;</w:t>
      </w:r>
      <w:r w:rsidR="00F53F67" w:rsidRPr="00F361CF">
        <w:rPr>
          <w:i/>
          <w:szCs w:val="24"/>
          <w:lang w:val="fr-CA"/>
        </w:rPr>
        <w:t xml:space="preserve"> R. c. Sappier</w:t>
      </w:r>
      <w:r w:rsidR="00F53F67" w:rsidRPr="00F361CF">
        <w:rPr>
          <w:szCs w:val="24"/>
          <w:lang w:val="fr-CA"/>
        </w:rPr>
        <w:t>, 2006 CSC 54, [2006] 2 R.C.S. 686;</w:t>
      </w:r>
      <w:r w:rsidR="00F53F67" w:rsidRPr="00F361CF">
        <w:rPr>
          <w:i/>
          <w:szCs w:val="24"/>
          <w:lang w:val="fr-CA"/>
        </w:rPr>
        <w:t xml:space="preserve"> Comité paritaire de l</w:t>
      </w:r>
      <w:r w:rsidR="009F72D8">
        <w:rPr>
          <w:i/>
          <w:szCs w:val="24"/>
          <w:lang w:val="fr-CA"/>
        </w:rPr>
        <w:t>’</w:t>
      </w:r>
      <w:r w:rsidR="00F53F67" w:rsidRPr="00F361CF">
        <w:rPr>
          <w:i/>
          <w:szCs w:val="24"/>
          <w:lang w:val="fr-CA"/>
        </w:rPr>
        <w:t>entretien d</w:t>
      </w:r>
      <w:r w:rsidR="009F72D8">
        <w:rPr>
          <w:i/>
          <w:szCs w:val="24"/>
          <w:lang w:val="fr-CA"/>
        </w:rPr>
        <w:t>’</w:t>
      </w:r>
      <w:r w:rsidR="00F53F67" w:rsidRPr="00F361CF">
        <w:rPr>
          <w:i/>
          <w:szCs w:val="24"/>
          <w:lang w:val="fr-CA"/>
        </w:rPr>
        <w:t>édifices publics de la région de Québec c. Hôtel Forestel Val</w:t>
      </w:r>
      <w:r w:rsidR="000916C5">
        <w:rPr>
          <w:i/>
          <w:szCs w:val="24"/>
          <w:lang w:val="fr-CA"/>
        </w:rPr>
        <w:noBreakHyphen/>
      </w:r>
      <w:r w:rsidR="00F53F67" w:rsidRPr="00F361CF">
        <w:rPr>
          <w:i/>
          <w:szCs w:val="24"/>
          <w:lang w:val="fr-CA"/>
        </w:rPr>
        <w:t>d</w:t>
      </w:r>
      <w:r w:rsidR="009F72D8">
        <w:rPr>
          <w:i/>
          <w:szCs w:val="24"/>
          <w:lang w:val="fr-CA"/>
        </w:rPr>
        <w:t>’</w:t>
      </w:r>
      <w:r w:rsidR="00F53F67" w:rsidRPr="00F361CF">
        <w:rPr>
          <w:i/>
          <w:szCs w:val="24"/>
          <w:lang w:val="fr-CA"/>
        </w:rPr>
        <w:t>Or inc.</w:t>
      </w:r>
      <w:r w:rsidR="00F53F67" w:rsidRPr="00F361CF">
        <w:rPr>
          <w:szCs w:val="24"/>
          <w:lang w:val="fr-CA"/>
        </w:rPr>
        <w:t xml:space="preserve">, 2017 QCCA 250; </w:t>
      </w:r>
      <w:r w:rsidR="00F53F67" w:rsidRPr="00F361CF">
        <w:rPr>
          <w:i/>
          <w:szCs w:val="24"/>
          <w:lang w:val="fr-CA"/>
        </w:rPr>
        <w:t>Daniels c. Canada (Affaires indiennes et du Nord canadien)</w:t>
      </w:r>
      <w:r w:rsidR="00F53F67" w:rsidRPr="00F361CF">
        <w:rPr>
          <w:szCs w:val="24"/>
          <w:lang w:val="fr-CA"/>
        </w:rPr>
        <w:t>, 2016 CSC 12, [2016] 1 R.C.S. 99;</w:t>
      </w:r>
      <w:r w:rsidR="00BA328E" w:rsidRPr="00BA328E">
        <w:rPr>
          <w:i/>
          <w:lang w:val="fr-CA"/>
        </w:rPr>
        <w:t xml:space="preserve"> </w:t>
      </w:r>
      <w:r w:rsidR="00BA328E">
        <w:rPr>
          <w:i/>
          <w:szCs w:val="24"/>
          <w:lang w:val="fr-CA"/>
        </w:rPr>
        <w:t>Hunt c</w:t>
      </w:r>
      <w:r w:rsidR="00BA328E" w:rsidRPr="00BA328E">
        <w:rPr>
          <w:i/>
          <w:szCs w:val="24"/>
          <w:lang w:val="fr-CA"/>
        </w:rPr>
        <w:t>. T&amp;N plc</w:t>
      </w:r>
      <w:r w:rsidR="00BA328E">
        <w:rPr>
          <w:szCs w:val="24"/>
          <w:lang w:val="fr-CA"/>
        </w:rPr>
        <w:t>, [1993] 4 R.C.S</w:t>
      </w:r>
      <w:r w:rsidR="00BA328E" w:rsidRPr="00BA328E">
        <w:rPr>
          <w:szCs w:val="24"/>
          <w:lang w:val="fr-CA"/>
        </w:rPr>
        <w:t xml:space="preserve">. </w:t>
      </w:r>
      <w:r w:rsidR="00BA328E" w:rsidRPr="002A33E7">
        <w:rPr>
          <w:szCs w:val="24"/>
          <w:lang w:val="fr-CA"/>
        </w:rPr>
        <w:t>289;</w:t>
      </w:r>
      <w:r w:rsidR="00305729" w:rsidRPr="002A33E7">
        <w:rPr>
          <w:i/>
          <w:lang w:val="fr-CA"/>
        </w:rPr>
        <w:t xml:space="preserve"> </w:t>
      </w:r>
      <w:r w:rsidR="0017073B" w:rsidRPr="0017073B">
        <w:rPr>
          <w:i/>
          <w:lang w:val="fr-CA"/>
        </w:rPr>
        <w:t>Morguard Investments Ltd.</w:t>
      </w:r>
      <w:r w:rsidR="0017073B">
        <w:rPr>
          <w:i/>
          <w:iCs/>
          <w:lang w:val="fr-CA"/>
        </w:rPr>
        <w:t xml:space="preserve"> </w:t>
      </w:r>
      <w:r w:rsidR="0017073B" w:rsidRPr="0017073B">
        <w:rPr>
          <w:i/>
          <w:iCs/>
          <w:lang w:val="fr-CA"/>
        </w:rPr>
        <w:t>c.</w:t>
      </w:r>
      <w:r w:rsidR="0017073B">
        <w:rPr>
          <w:i/>
          <w:lang w:val="fr-CA"/>
        </w:rPr>
        <w:t xml:space="preserve"> </w:t>
      </w:r>
      <w:r w:rsidR="0017073B" w:rsidRPr="0017073B">
        <w:rPr>
          <w:i/>
          <w:lang w:val="fr-CA"/>
        </w:rPr>
        <w:t>De Savoye</w:t>
      </w:r>
      <w:r w:rsidR="0017073B" w:rsidRPr="0017073B">
        <w:rPr>
          <w:lang w:val="fr-CA"/>
        </w:rPr>
        <w:t>, [1990] 3 R.C.S. 1077</w:t>
      </w:r>
      <w:r w:rsidR="0017073B">
        <w:rPr>
          <w:lang w:val="fr-CA"/>
        </w:rPr>
        <w:t xml:space="preserve">; </w:t>
      </w:r>
      <w:r w:rsidR="0066594D" w:rsidRPr="0017073B">
        <w:rPr>
          <w:lang w:val="fr-CA"/>
        </w:rPr>
        <w:t>Canada</w:t>
      </w:r>
      <w:r w:rsidR="0066594D" w:rsidRPr="002A33E7">
        <w:rPr>
          <w:i/>
          <w:lang w:val="fr-CA"/>
        </w:rPr>
        <w:t xml:space="preserve"> (Procureur</w:t>
      </w:r>
      <w:r w:rsidR="0066594D">
        <w:rPr>
          <w:i/>
          <w:lang w:val="fr-CA"/>
        </w:rPr>
        <w:t xml:space="preserve"> général</w:t>
      </w:r>
      <w:r w:rsidR="0066594D" w:rsidRPr="0066594D">
        <w:rPr>
          <w:i/>
          <w:lang w:val="fr-CA"/>
        </w:rPr>
        <w:t>)</w:t>
      </w:r>
      <w:r w:rsidR="0066594D">
        <w:rPr>
          <w:i/>
          <w:lang w:val="fr-CA"/>
        </w:rPr>
        <w:t xml:space="preserve"> c</w:t>
      </w:r>
      <w:r w:rsidR="0066594D" w:rsidRPr="0066594D">
        <w:rPr>
          <w:i/>
          <w:lang w:val="fr-CA"/>
        </w:rPr>
        <w:t>. TeleZone Inc.</w:t>
      </w:r>
      <w:r w:rsidR="0066594D">
        <w:rPr>
          <w:lang w:val="fr-CA"/>
        </w:rPr>
        <w:t xml:space="preserve">, 2010 </w:t>
      </w:r>
      <w:r w:rsidR="0066594D" w:rsidRPr="0066594D">
        <w:rPr>
          <w:lang w:val="fr-CA"/>
        </w:rPr>
        <w:t>C</w:t>
      </w:r>
      <w:r w:rsidR="0066594D">
        <w:rPr>
          <w:lang w:val="fr-CA"/>
        </w:rPr>
        <w:t>S</w:t>
      </w:r>
      <w:r w:rsidR="0066594D" w:rsidRPr="0066594D">
        <w:rPr>
          <w:lang w:val="fr-CA"/>
        </w:rPr>
        <w:t>C 62, [2010] 3</w:t>
      </w:r>
      <w:r w:rsidR="0066594D">
        <w:rPr>
          <w:lang w:val="fr-CA"/>
        </w:rPr>
        <w:t xml:space="preserve"> R.C.S</w:t>
      </w:r>
      <w:r w:rsidR="0066594D" w:rsidRPr="0066594D">
        <w:rPr>
          <w:lang w:val="fr-CA"/>
        </w:rPr>
        <w:t>. 585;</w:t>
      </w:r>
      <w:r w:rsidR="00AC6366" w:rsidRPr="00AC6366">
        <w:rPr>
          <w:i/>
          <w:lang w:val="fr-CA"/>
        </w:rPr>
        <w:t xml:space="preserve"> B.C.G.E.U.</w:t>
      </w:r>
      <w:r w:rsidR="00AC6366">
        <w:rPr>
          <w:i/>
          <w:lang w:val="fr-CA"/>
        </w:rPr>
        <w:t xml:space="preserve"> c. Colombie</w:t>
      </w:r>
      <w:r w:rsidR="000916C5">
        <w:rPr>
          <w:i/>
          <w:lang w:val="fr-CA"/>
        </w:rPr>
        <w:noBreakHyphen/>
      </w:r>
      <w:r w:rsidR="00AC6366">
        <w:rPr>
          <w:i/>
          <w:lang w:val="fr-CA"/>
        </w:rPr>
        <w:t>Britannique (Procureur général)</w:t>
      </w:r>
      <w:r w:rsidR="00AC6366">
        <w:rPr>
          <w:lang w:val="fr-CA"/>
        </w:rPr>
        <w:t xml:space="preserve">, </w:t>
      </w:r>
      <w:r w:rsidR="00AC6366" w:rsidRPr="00AC6366">
        <w:rPr>
          <w:lang w:val="fr-CA"/>
        </w:rPr>
        <w:t xml:space="preserve">[1988] </w:t>
      </w:r>
      <w:r w:rsidR="00AC6366">
        <w:rPr>
          <w:lang w:val="fr-CA"/>
        </w:rPr>
        <w:t>2 R.C.S</w:t>
      </w:r>
      <w:r w:rsidR="00AC6366" w:rsidRPr="00AC6366">
        <w:rPr>
          <w:lang w:val="fr-CA"/>
        </w:rPr>
        <w:t>. 214;</w:t>
      </w:r>
      <w:r w:rsidR="001F26EF" w:rsidRPr="001F26EF">
        <w:rPr>
          <w:i/>
          <w:lang w:val="fr-CA"/>
        </w:rPr>
        <w:t xml:space="preserve"> </w:t>
      </w:r>
      <w:r w:rsidR="001F26EF">
        <w:rPr>
          <w:i/>
          <w:lang w:val="fr-CA"/>
        </w:rPr>
        <w:t>Hryniak c</w:t>
      </w:r>
      <w:r w:rsidR="001F26EF" w:rsidRPr="001F26EF">
        <w:rPr>
          <w:i/>
          <w:lang w:val="fr-CA"/>
        </w:rPr>
        <w:t>. Mauldin</w:t>
      </w:r>
      <w:r w:rsidR="001F26EF">
        <w:rPr>
          <w:lang w:val="fr-CA"/>
        </w:rPr>
        <w:t xml:space="preserve">, 2014 </w:t>
      </w:r>
      <w:r w:rsidR="001F26EF" w:rsidRPr="001F26EF">
        <w:rPr>
          <w:lang w:val="fr-CA"/>
        </w:rPr>
        <w:t>C</w:t>
      </w:r>
      <w:r w:rsidR="001F26EF">
        <w:rPr>
          <w:lang w:val="fr-CA"/>
        </w:rPr>
        <w:t>SC 7, [2014] 1 R.C.S</w:t>
      </w:r>
      <w:r w:rsidR="001F26EF" w:rsidRPr="001F26EF">
        <w:rPr>
          <w:lang w:val="fr-CA"/>
        </w:rPr>
        <w:t>. 87;</w:t>
      </w:r>
      <w:r w:rsidR="001A59A0" w:rsidRPr="001A59A0">
        <w:rPr>
          <w:i/>
          <w:lang w:val="fr-CA"/>
        </w:rPr>
        <w:t xml:space="preserve"> R. </w:t>
      </w:r>
      <w:r w:rsidR="001A59A0">
        <w:rPr>
          <w:i/>
          <w:lang w:val="fr-CA"/>
        </w:rPr>
        <w:t>c</w:t>
      </w:r>
      <w:r w:rsidR="001A59A0" w:rsidRPr="001A59A0">
        <w:rPr>
          <w:i/>
          <w:lang w:val="fr-CA"/>
        </w:rPr>
        <w:t>. Côté</w:t>
      </w:r>
      <w:r w:rsidR="001A59A0" w:rsidRPr="001A59A0">
        <w:rPr>
          <w:lang w:val="fr-CA"/>
        </w:rPr>
        <w:t xml:space="preserve">, </w:t>
      </w:r>
      <w:r w:rsidR="001A59A0">
        <w:rPr>
          <w:lang w:val="fr-CA"/>
        </w:rPr>
        <w:t>[1996] 3 R.C.S</w:t>
      </w:r>
      <w:r w:rsidR="001A59A0" w:rsidRPr="001A59A0">
        <w:rPr>
          <w:lang w:val="fr-CA"/>
        </w:rPr>
        <w:t>. 139;</w:t>
      </w:r>
      <w:r w:rsidR="008C5C3A">
        <w:rPr>
          <w:lang w:val="fr-CA"/>
        </w:rPr>
        <w:t xml:space="preserve"> </w:t>
      </w:r>
      <w:r w:rsidR="008C5C3A">
        <w:rPr>
          <w:i/>
          <w:lang w:val="fr-CA"/>
        </w:rPr>
        <w:t>Uashaunnuat (Innus de Uashat et de Mani</w:t>
      </w:r>
      <w:r w:rsidR="000916C5">
        <w:rPr>
          <w:i/>
          <w:lang w:val="fr-CA"/>
        </w:rPr>
        <w:noBreakHyphen/>
      </w:r>
      <w:r w:rsidR="008C5C3A">
        <w:rPr>
          <w:i/>
          <w:lang w:val="fr-CA"/>
        </w:rPr>
        <w:t xml:space="preserve">Utenam) c. Compagnie minière IOC inc. </w:t>
      </w:r>
      <w:r w:rsidR="008C5C3A" w:rsidRPr="008C5C3A">
        <w:rPr>
          <w:i/>
          <w:lang w:val="en-US"/>
        </w:rPr>
        <w:t>(Iron Ore Company of Canada)</w:t>
      </w:r>
      <w:r w:rsidR="008C5C3A" w:rsidRPr="008C5C3A">
        <w:rPr>
          <w:lang w:val="en-US"/>
        </w:rPr>
        <w:t xml:space="preserve">, 2016 QCCS 1958; </w:t>
      </w:r>
      <w:r w:rsidR="00F5733F" w:rsidRPr="008C5C3A">
        <w:rPr>
          <w:i/>
          <w:lang w:val="en-US"/>
        </w:rPr>
        <w:t>Oppenheim forfait GMBH c. Lexus maritime inc</w:t>
      </w:r>
      <w:r w:rsidR="008C5C3A">
        <w:rPr>
          <w:lang w:val="en-US"/>
        </w:rPr>
        <w:t>, 1998 CanLII 13001.</w:t>
      </w:r>
    </w:p>
    <w:p w:rsidR="00A23DC1" w:rsidRPr="00093A81" w:rsidRDefault="00A23DC1" w:rsidP="00ED101B">
      <w:pPr>
        <w:pStyle w:val="SCCNormalDoubleSpacing"/>
        <w:spacing w:after="720" w:line="240" w:lineRule="auto"/>
        <w:rPr>
          <w:lang w:val="fr-CA"/>
        </w:rPr>
      </w:pPr>
      <w:r w:rsidRPr="00093A81">
        <w:rPr>
          <w:lang w:val="fr-CA"/>
        </w:rPr>
        <w:t>Citée par le</w:t>
      </w:r>
      <w:r>
        <w:rPr>
          <w:lang w:val="fr-CA"/>
        </w:rPr>
        <w:t>s</w:t>
      </w:r>
      <w:r w:rsidRPr="00093A81">
        <w:rPr>
          <w:lang w:val="fr-CA"/>
        </w:rPr>
        <w:t xml:space="preserve"> juge</w:t>
      </w:r>
      <w:r>
        <w:rPr>
          <w:lang w:val="fr-CA"/>
        </w:rPr>
        <w:t>s</w:t>
      </w:r>
      <w:r w:rsidRPr="00093A81">
        <w:rPr>
          <w:lang w:val="fr-CA"/>
        </w:rPr>
        <w:t xml:space="preserve"> Brown</w:t>
      </w:r>
      <w:r>
        <w:rPr>
          <w:lang w:val="fr-CA"/>
        </w:rPr>
        <w:t xml:space="preserve"> et Rowe</w:t>
      </w:r>
      <w:r w:rsidR="005377B2">
        <w:rPr>
          <w:lang w:val="fr-CA"/>
        </w:rPr>
        <w:t xml:space="preserve"> (dissidents)</w:t>
      </w:r>
    </w:p>
    <w:p w:rsidR="00A23DC1" w:rsidRPr="00F731C9" w:rsidRDefault="00A23DC1" w:rsidP="00A55AB3">
      <w:pPr>
        <w:pStyle w:val="SCCNormalDoubleSpacing"/>
        <w:spacing w:after="480"/>
        <w:rPr>
          <w:lang w:val="fr-CA"/>
        </w:rPr>
      </w:pPr>
      <w:r>
        <w:rPr>
          <w:b/>
          <w:lang w:val="fr-CA"/>
        </w:rPr>
        <w:tab/>
      </w:r>
      <w:r w:rsidRPr="00C065CC">
        <w:rPr>
          <w:i/>
          <w:lang w:val="fr-CA"/>
        </w:rPr>
        <w:t>Procureur général de Terre</w:t>
      </w:r>
      <w:r w:rsidRPr="00C065CC">
        <w:rPr>
          <w:i/>
          <w:lang w:val="fr-CA"/>
        </w:rPr>
        <w:noBreakHyphen/>
        <w:t>Neuve</w:t>
      </w:r>
      <w:r w:rsidRPr="00C065CC">
        <w:rPr>
          <w:i/>
          <w:lang w:val="fr-CA"/>
        </w:rPr>
        <w:noBreakHyphen/>
        <w:t>Labrador c. Uashaunnuat (Innus de Uashat et de Mani</w:t>
      </w:r>
      <w:r w:rsidRPr="00C065CC">
        <w:rPr>
          <w:i/>
          <w:lang w:val="fr-CA"/>
        </w:rPr>
        <w:noBreakHyphen/>
        <w:t>Utenam)</w:t>
      </w:r>
      <w:r w:rsidRPr="00C065CC">
        <w:rPr>
          <w:lang w:val="fr-CA"/>
        </w:rPr>
        <w:t xml:space="preserve">, 2017 QCCA 14; </w:t>
      </w:r>
      <w:r w:rsidRPr="00C065CC">
        <w:rPr>
          <w:i/>
          <w:lang w:val="fr-CA"/>
        </w:rPr>
        <w:t>Transax Techn</w:t>
      </w:r>
      <w:r w:rsidR="00C70E7E">
        <w:rPr>
          <w:i/>
          <w:lang w:val="fr-CA"/>
        </w:rPr>
        <w:t xml:space="preserve">ologies inc. c. Red Baron Corp. </w:t>
      </w:r>
      <w:r w:rsidRPr="00C065CC">
        <w:rPr>
          <w:i/>
          <w:lang w:val="fr-CA"/>
        </w:rPr>
        <w:t>Ltd</w:t>
      </w:r>
      <w:r w:rsidRPr="00C065CC">
        <w:rPr>
          <w:lang w:val="fr-CA"/>
        </w:rPr>
        <w:t xml:space="preserve">, 2016 QCCA 1432; </w:t>
      </w:r>
      <w:r w:rsidRPr="00C065CC">
        <w:rPr>
          <w:i/>
          <w:lang w:val="fr-CA"/>
        </w:rPr>
        <w:t>Uashaunnuat (Innus de Uashat et de Mani</w:t>
      </w:r>
      <w:r w:rsidRPr="00C065CC">
        <w:rPr>
          <w:i/>
          <w:lang w:val="fr-CA"/>
        </w:rPr>
        <w:noBreakHyphen/>
        <w:t>Utenam) c. Compagnie minière IOC inc. (Iron Ore Company of Canada)</w:t>
      </w:r>
      <w:r w:rsidRPr="00C065CC">
        <w:rPr>
          <w:lang w:val="fr-CA"/>
        </w:rPr>
        <w:t xml:space="preserve">, 2014 QCCS 2051; </w:t>
      </w:r>
      <w:r w:rsidRPr="00C065CC">
        <w:rPr>
          <w:i/>
          <w:lang w:val="fr-CA"/>
        </w:rPr>
        <w:lastRenderedPageBreak/>
        <w:t>Uashaunnuat (Innus de Uashat et de Mani</w:t>
      </w:r>
      <w:r w:rsidRPr="00C065CC">
        <w:rPr>
          <w:i/>
          <w:lang w:val="fr-CA"/>
        </w:rPr>
        <w:noBreakHyphen/>
        <w:t>Utenam) c. Compagnie minière IOC inc. (Iron Ore Company of Canada)</w:t>
      </w:r>
      <w:r w:rsidRPr="00C065CC">
        <w:rPr>
          <w:lang w:val="fr-CA"/>
        </w:rPr>
        <w:t xml:space="preserve">, 2016 QCCS 1958; </w:t>
      </w:r>
      <w:r w:rsidRPr="00C065CC">
        <w:rPr>
          <w:i/>
          <w:lang w:val="fr-CA"/>
        </w:rPr>
        <w:t>Club Resorts Ltd. c. Van Breda</w:t>
      </w:r>
      <w:r w:rsidRPr="00C065CC">
        <w:rPr>
          <w:lang w:val="fr-CA"/>
        </w:rPr>
        <w:t>, 2012 CSC 17, [2012] 1 R.C.S. 572;</w:t>
      </w:r>
      <w:r w:rsidR="0061354C" w:rsidRPr="00C065CC">
        <w:rPr>
          <w:lang w:val="fr-CA"/>
        </w:rPr>
        <w:t xml:space="preserve"> </w:t>
      </w:r>
      <w:r w:rsidR="0061354C" w:rsidRPr="00C065CC">
        <w:rPr>
          <w:i/>
          <w:lang w:val="fr-CA"/>
        </w:rPr>
        <w:t>Uashaunnuat (Innus de Uashat et de Mani</w:t>
      </w:r>
      <w:r w:rsidR="0061354C" w:rsidRPr="00C065CC">
        <w:rPr>
          <w:i/>
          <w:lang w:val="fr-CA"/>
        </w:rPr>
        <w:noBreakHyphen/>
        <w:t>Utenam) c. Compagnie minière IOC inc. (Iron Ore Company of Canada)</w:t>
      </w:r>
      <w:r w:rsidR="0061354C" w:rsidRPr="00C065CC">
        <w:rPr>
          <w:lang w:val="fr-CA"/>
        </w:rPr>
        <w:t xml:space="preserve">, 2014 QCCS 4403; </w:t>
      </w:r>
      <w:r w:rsidRPr="00C065CC">
        <w:rPr>
          <w:i/>
          <w:lang w:val="fr-CA"/>
        </w:rPr>
        <w:t>Morguard Investments Ltd. c. De Savoye</w:t>
      </w:r>
      <w:r w:rsidRPr="00C065CC">
        <w:rPr>
          <w:lang w:val="fr-CA"/>
        </w:rPr>
        <w:t>, [1990</w:t>
      </w:r>
      <w:r w:rsidRPr="00380430">
        <w:rPr>
          <w:lang w:val="fr-CA"/>
        </w:rPr>
        <w:t xml:space="preserve">] 3 R.C.S. 1077; </w:t>
      </w:r>
      <w:r w:rsidRPr="00380430">
        <w:rPr>
          <w:i/>
          <w:lang w:val="fr-CA"/>
        </w:rPr>
        <w:t>Barer c. Knight Brothers LLC</w:t>
      </w:r>
      <w:r w:rsidRPr="00380430">
        <w:rPr>
          <w:lang w:val="fr-CA"/>
        </w:rPr>
        <w:t>, 2019 CSC 13</w:t>
      </w:r>
      <w:r w:rsidR="00F92ACF">
        <w:rPr>
          <w:lang w:val="fr-CA"/>
        </w:rPr>
        <w:t>, [2019] 1 R.C.S. 573</w:t>
      </w:r>
      <w:r w:rsidRPr="00380430">
        <w:rPr>
          <w:lang w:val="fr-CA"/>
        </w:rPr>
        <w:t xml:space="preserve">; </w:t>
      </w:r>
      <w:r w:rsidRPr="00380430">
        <w:rPr>
          <w:i/>
          <w:szCs w:val="24"/>
          <w:lang w:val="fr-CA"/>
        </w:rPr>
        <w:t>Hunt c. T&amp;N plc</w:t>
      </w:r>
      <w:r w:rsidRPr="00380430">
        <w:rPr>
          <w:szCs w:val="24"/>
          <w:lang w:val="fr-CA"/>
        </w:rPr>
        <w:t xml:space="preserve">, [1993] 4 R.C.S. 289; </w:t>
      </w:r>
      <w:r w:rsidRPr="00380430">
        <w:rPr>
          <w:i/>
          <w:szCs w:val="24"/>
          <w:lang w:val="fr-CA"/>
        </w:rPr>
        <w:t>Ontario (Procureur général) c. Pembina Exploration Canada Ltd.</w:t>
      </w:r>
      <w:r w:rsidRPr="00380430">
        <w:rPr>
          <w:szCs w:val="24"/>
          <w:lang w:val="fr-CA"/>
        </w:rPr>
        <w:t xml:space="preserve">, [1989] 1 R.C.S. 206; </w:t>
      </w:r>
      <w:r w:rsidRPr="00380430">
        <w:rPr>
          <w:i/>
          <w:szCs w:val="24"/>
          <w:lang w:val="fr-CA"/>
        </w:rPr>
        <w:t>Lac d’Amiante du Québec Ltée c. 2858</w:t>
      </w:r>
      <w:r w:rsidRPr="00380430">
        <w:rPr>
          <w:i/>
          <w:szCs w:val="24"/>
          <w:lang w:val="fr-CA"/>
        </w:rPr>
        <w:noBreakHyphen/>
        <w:t>0702 Québec Inc.</w:t>
      </w:r>
      <w:r w:rsidRPr="00380430">
        <w:rPr>
          <w:szCs w:val="24"/>
          <w:lang w:val="fr-CA"/>
        </w:rPr>
        <w:t xml:space="preserve">, 2001 CSC 51, [2001] 2 R.C.S. 743; </w:t>
      </w:r>
      <w:r w:rsidRPr="00380430">
        <w:rPr>
          <w:i/>
          <w:szCs w:val="24"/>
          <w:lang w:val="fr-CA"/>
        </w:rPr>
        <w:t>Three Rivers Boatman Ltd. c. Conseil canadien des relations ouvrières</w:t>
      </w:r>
      <w:r w:rsidRPr="00380430">
        <w:rPr>
          <w:szCs w:val="24"/>
          <w:lang w:val="fr-CA"/>
        </w:rPr>
        <w:t>, [1969] R.C.S. 607;</w:t>
      </w:r>
      <w:r w:rsidRPr="00380430">
        <w:rPr>
          <w:i/>
          <w:iCs/>
          <w:color w:val="000000"/>
          <w:szCs w:val="24"/>
          <w:lang w:val="fr-CA"/>
        </w:rPr>
        <w:t xml:space="preserve"> MacMillan Bloedel Ltd. c. Simpson</w:t>
      </w:r>
      <w:r w:rsidRPr="00380430">
        <w:rPr>
          <w:color w:val="000000"/>
          <w:szCs w:val="24"/>
          <w:lang w:val="fr-CA"/>
        </w:rPr>
        <w:t>, [1995] 4 R.C.S. 725;</w:t>
      </w:r>
      <w:r w:rsidRPr="00380430">
        <w:rPr>
          <w:i/>
          <w:color w:val="000000"/>
          <w:szCs w:val="24"/>
          <w:lang w:val="fr-CA"/>
        </w:rPr>
        <w:t xml:space="preserve"> Abela c. Baadarani</w:t>
      </w:r>
      <w:r w:rsidRPr="00380430">
        <w:rPr>
          <w:color w:val="000000"/>
          <w:szCs w:val="24"/>
          <w:lang w:val="fr-CA"/>
        </w:rPr>
        <w:t>, [2013] UKSC 44, [2013] 4 All E.R. 119;</w:t>
      </w:r>
      <w:r w:rsidRPr="00380430">
        <w:rPr>
          <w:i/>
          <w:color w:val="000000"/>
          <w:szCs w:val="24"/>
          <w:lang w:val="fr-CA"/>
        </w:rPr>
        <w:t xml:space="preserve"> The Scottish Metropolitan Assurance Company Limited c. Graves</w:t>
      </w:r>
      <w:r w:rsidRPr="00380430">
        <w:rPr>
          <w:color w:val="000000"/>
          <w:szCs w:val="24"/>
          <w:lang w:val="fr-CA"/>
        </w:rPr>
        <w:t>, [1955] C.S. 88;</w:t>
      </w:r>
      <w:r w:rsidRPr="00380430">
        <w:rPr>
          <w:i/>
          <w:color w:val="000000"/>
          <w:szCs w:val="24"/>
          <w:lang w:val="fr-CA"/>
        </w:rPr>
        <w:t xml:space="preserve"> Dupont c. Taronga Holdings Ltd.</w:t>
      </w:r>
      <w:r w:rsidRPr="00380430">
        <w:rPr>
          <w:color w:val="000000"/>
          <w:szCs w:val="24"/>
          <w:lang w:val="fr-CA"/>
        </w:rPr>
        <w:t xml:space="preserve">, [1987] R.J.Q. 124; </w:t>
      </w:r>
      <w:r w:rsidRPr="00380430">
        <w:rPr>
          <w:i/>
          <w:color w:val="000000"/>
          <w:szCs w:val="24"/>
          <w:lang w:val="fr-CA"/>
        </w:rPr>
        <w:t>Colombie-Britannique c. Imperial Tobacco Canada Ltée</w:t>
      </w:r>
      <w:r w:rsidRPr="00380430">
        <w:rPr>
          <w:color w:val="000000"/>
          <w:szCs w:val="24"/>
          <w:lang w:val="fr-CA"/>
        </w:rPr>
        <w:t xml:space="preserve">, 2005 CSC 49, [2005] 2 R.C.S. 473; </w:t>
      </w:r>
      <w:r w:rsidRPr="00380430">
        <w:rPr>
          <w:i/>
          <w:color w:val="000000"/>
          <w:szCs w:val="24"/>
          <w:lang w:val="fr-CA"/>
        </w:rPr>
        <w:t>Tolofson c. Jensen</w:t>
      </w:r>
      <w:r w:rsidRPr="00380430">
        <w:rPr>
          <w:color w:val="000000"/>
          <w:szCs w:val="24"/>
          <w:lang w:val="fr-CA"/>
        </w:rPr>
        <w:t xml:space="preserve">, [1994] 3 R.C.S. 1022; </w:t>
      </w:r>
      <w:r w:rsidRPr="00380430">
        <w:rPr>
          <w:i/>
          <w:color w:val="000000"/>
          <w:szCs w:val="24"/>
          <w:lang w:val="fr-CA"/>
        </w:rPr>
        <w:t>McGuire c. McGuire</w:t>
      </w:r>
      <w:r w:rsidRPr="00380430">
        <w:rPr>
          <w:color w:val="000000"/>
          <w:szCs w:val="24"/>
          <w:lang w:val="fr-CA"/>
        </w:rPr>
        <w:t>, [1953] O.R. 328;</w:t>
      </w:r>
      <w:r w:rsidRPr="00380430">
        <w:rPr>
          <w:i/>
          <w:color w:val="000000"/>
          <w:szCs w:val="24"/>
          <w:lang w:val="fr-CA"/>
        </w:rPr>
        <w:t xml:space="preserve"> Re Vantel Broadcasting Co. Ltd. and Canada Labour Relations Board</w:t>
      </w:r>
      <w:r w:rsidRPr="00380430">
        <w:rPr>
          <w:color w:val="000000"/>
          <w:szCs w:val="24"/>
          <w:lang w:val="fr-CA"/>
        </w:rPr>
        <w:t xml:space="preserve"> (1962), 35 D.L.R. (2d) 620;</w:t>
      </w:r>
      <w:r w:rsidRPr="00380430">
        <w:rPr>
          <w:i/>
          <w:color w:val="000000"/>
          <w:lang w:val="fr-CA"/>
        </w:rPr>
        <w:t xml:space="preserve"> Calder c. Procureur général de la Colombie</w:t>
      </w:r>
      <w:r w:rsidRPr="00380430">
        <w:rPr>
          <w:i/>
          <w:color w:val="000000"/>
          <w:lang w:val="fr-CA"/>
        </w:rPr>
        <w:noBreakHyphen/>
        <w:t>Britannique</w:t>
      </w:r>
      <w:r w:rsidRPr="00380430">
        <w:rPr>
          <w:color w:val="000000"/>
          <w:lang w:val="fr-CA"/>
        </w:rPr>
        <w:t>, [1973] R.C.S. 313;</w:t>
      </w:r>
      <w:r w:rsidRPr="00380430">
        <w:rPr>
          <w:i/>
          <w:color w:val="000000"/>
          <w:lang w:val="fr-CA"/>
        </w:rPr>
        <w:t xml:space="preserve"> Roberts c. Canada</w:t>
      </w:r>
      <w:r w:rsidRPr="00380430">
        <w:rPr>
          <w:color w:val="000000"/>
          <w:lang w:val="fr-CA"/>
        </w:rPr>
        <w:t xml:space="preserve">, [1989] 1 R.C.S. 322; </w:t>
      </w:r>
      <w:r w:rsidRPr="00380430">
        <w:rPr>
          <w:i/>
          <w:color w:val="000000"/>
          <w:lang w:val="fr-CA"/>
        </w:rPr>
        <w:t>R. c. Van der Peet</w:t>
      </w:r>
      <w:r w:rsidRPr="00380430">
        <w:rPr>
          <w:color w:val="000000"/>
          <w:lang w:val="fr-CA"/>
        </w:rPr>
        <w:t>, [1996] 2 R.C.S. 507;</w:t>
      </w:r>
      <w:r w:rsidRPr="00380430">
        <w:rPr>
          <w:i/>
          <w:lang w:val="fr-CA"/>
        </w:rPr>
        <w:t xml:space="preserve"> Prud’homme c. Prud’homme</w:t>
      </w:r>
      <w:r w:rsidRPr="00380430">
        <w:rPr>
          <w:lang w:val="fr-CA"/>
        </w:rPr>
        <w:t xml:space="preserve">, 2002 CSC 85, [2002] 4 R.C.S. 663; </w:t>
      </w:r>
      <w:r w:rsidRPr="00380430">
        <w:rPr>
          <w:i/>
          <w:lang w:val="fr-CA"/>
        </w:rPr>
        <w:t>Doré c. Verdun (Ville)</w:t>
      </w:r>
      <w:r w:rsidRPr="00380430">
        <w:rPr>
          <w:lang w:val="fr-CA"/>
        </w:rPr>
        <w:t>, [1997] 2 R.C.S. 862;</w:t>
      </w:r>
      <w:r w:rsidRPr="00380430">
        <w:rPr>
          <w:i/>
          <w:lang w:val="fr-CA"/>
        </w:rPr>
        <w:t xml:space="preserve"> Nation Tsilhqot’in c. Colombie</w:t>
      </w:r>
      <w:r w:rsidRPr="00380430">
        <w:rPr>
          <w:i/>
          <w:lang w:val="fr-CA"/>
        </w:rPr>
        <w:noBreakHyphen/>
        <w:t>Britannique</w:t>
      </w:r>
      <w:r w:rsidRPr="00380430">
        <w:rPr>
          <w:lang w:val="fr-CA"/>
        </w:rPr>
        <w:t>, 2014 CSC 44, [2014] 2 R.C.S. 257;</w:t>
      </w:r>
      <w:r w:rsidR="00627B5E">
        <w:rPr>
          <w:i/>
          <w:lang w:val="fr-CA"/>
        </w:rPr>
        <w:t xml:space="preserve"> Delgamuukw c. Colombie</w:t>
      </w:r>
      <w:r w:rsidR="00627B5E">
        <w:rPr>
          <w:i/>
          <w:lang w:val="fr-CA"/>
        </w:rPr>
        <w:noBreakHyphen/>
      </w:r>
      <w:r w:rsidRPr="00380430">
        <w:rPr>
          <w:i/>
          <w:lang w:val="fr-CA"/>
        </w:rPr>
        <w:t>Britannique</w:t>
      </w:r>
      <w:r w:rsidRPr="00380430">
        <w:rPr>
          <w:lang w:val="fr-CA"/>
        </w:rPr>
        <w:t>, [1997] 3 R.C.S. 1010;</w:t>
      </w:r>
      <w:r w:rsidRPr="00380430">
        <w:rPr>
          <w:i/>
          <w:color w:val="000000"/>
          <w:lang w:val="fr-CA"/>
        </w:rPr>
        <w:t xml:space="preserve"> Guerin c. La Reine</w:t>
      </w:r>
      <w:r w:rsidRPr="00380430">
        <w:rPr>
          <w:color w:val="000000"/>
          <w:lang w:val="fr-CA"/>
        </w:rPr>
        <w:t>, [1984] 2 R.C.S. 335;</w:t>
      </w:r>
      <w:r w:rsidRPr="00380430">
        <w:rPr>
          <w:i/>
          <w:color w:val="000000"/>
          <w:lang w:val="fr-CA"/>
        </w:rPr>
        <w:t xml:space="preserve"> St. Catherine’s Milling and Lumber Company c. The Queen</w:t>
      </w:r>
      <w:r w:rsidRPr="00380430">
        <w:rPr>
          <w:color w:val="000000"/>
          <w:lang w:val="fr-CA"/>
        </w:rPr>
        <w:t xml:space="preserve"> (1888), 14 App. Cas. 46;</w:t>
      </w:r>
      <w:r w:rsidRPr="00380430">
        <w:rPr>
          <w:i/>
          <w:color w:val="000000"/>
          <w:lang w:val="fr-CA"/>
        </w:rPr>
        <w:t xml:space="preserve"> Nation haïda c. Colombie</w:t>
      </w:r>
      <w:r w:rsidRPr="00380430">
        <w:rPr>
          <w:i/>
          <w:color w:val="000000"/>
          <w:lang w:val="fr-CA"/>
        </w:rPr>
        <w:noBreakHyphen/>
        <w:t>Britannique (Ministre des Forêts)</w:t>
      </w:r>
      <w:r w:rsidRPr="00380430">
        <w:rPr>
          <w:color w:val="000000"/>
          <w:lang w:val="fr-CA"/>
        </w:rPr>
        <w:t>, 2004 CSC 73, [2004] 3 R.C.S. 511;</w:t>
      </w:r>
      <w:r w:rsidRPr="00380430">
        <w:rPr>
          <w:i/>
          <w:color w:val="000000"/>
          <w:lang w:val="fr-CA"/>
        </w:rPr>
        <w:t xml:space="preserve"> </w:t>
      </w:r>
      <w:r w:rsidR="001208A9" w:rsidRPr="00380430">
        <w:rPr>
          <w:i/>
          <w:color w:val="000000"/>
          <w:szCs w:val="24"/>
          <w:lang w:val="fr-CA"/>
        </w:rPr>
        <w:t>Renvoi relatif à la réglementation pancanadienne des valeurs mobilières</w:t>
      </w:r>
      <w:r w:rsidR="001208A9" w:rsidRPr="00380430">
        <w:rPr>
          <w:color w:val="000000"/>
          <w:szCs w:val="24"/>
          <w:lang w:val="fr-CA"/>
        </w:rPr>
        <w:t>, 2017 QCCA 756;</w:t>
      </w:r>
      <w:r w:rsidR="001208A9" w:rsidRPr="00380430">
        <w:rPr>
          <w:i/>
          <w:color w:val="000000"/>
          <w:szCs w:val="24"/>
          <w:lang w:val="fr-CA"/>
        </w:rPr>
        <w:t xml:space="preserve"> </w:t>
      </w:r>
      <w:r w:rsidRPr="00380430">
        <w:rPr>
          <w:i/>
          <w:color w:val="000000"/>
          <w:lang w:val="fr-CA"/>
        </w:rPr>
        <w:t>Gauthier c. Bergeron</w:t>
      </w:r>
      <w:r w:rsidRPr="00380430">
        <w:rPr>
          <w:color w:val="000000"/>
          <w:lang w:val="fr-CA"/>
        </w:rPr>
        <w:t>, [1973] C.A. 77;</w:t>
      </w:r>
      <w:r w:rsidRPr="00380430">
        <w:rPr>
          <w:i/>
          <w:color w:val="000000"/>
          <w:lang w:val="fr-CA"/>
        </w:rPr>
        <w:t xml:space="preserve"> Bern c. Bern</w:t>
      </w:r>
      <w:r w:rsidRPr="00380430">
        <w:rPr>
          <w:color w:val="000000"/>
          <w:lang w:val="fr-CA"/>
        </w:rPr>
        <w:t xml:space="preserve">, [1995] R.D.J. </w:t>
      </w:r>
      <w:r w:rsidRPr="00380430">
        <w:rPr>
          <w:color w:val="000000"/>
          <w:lang w:val="fr-CA"/>
        </w:rPr>
        <w:lastRenderedPageBreak/>
        <w:t>510;</w:t>
      </w:r>
      <w:r w:rsidRPr="00380430">
        <w:rPr>
          <w:i/>
          <w:color w:val="000000"/>
          <w:lang w:val="fr-CA"/>
        </w:rPr>
        <w:t xml:space="preserve"> Domaine de l’Isle aux Oyes Inc. c. D’Aragon</w:t>
      </w:r>
      <w:r w:rsidRPr="00380430">
        <w:rPr>
          <w:color w:val="000000"/>
          <w:lang w:val="fr-CA"/>
        </w:rPr>
        <w:t>, [1984] R.D.J. 171;</w:t>
      </w:r>
      <w:r w:rsidRPr="00380430">
        <w:rPr>
          <w:i/>
          <w:color w:val="000000"/>
          <w:lang w:val="fr-CA"/>
        </w:rPr>
        <w:t xml:space="preserve"> R. c. Sparrow</w:t>
      </w:r>
      <w:r w:rsidRPr="00380430">
        <w:rPr>
          <w:color w:val="000000"/>
          <w:lang w:val="fr-CA"/>
        </w:rPr>
        <w:t xml:space="preserve">, [1990] 1 R.C.S. 1075; </w:t>
      </w:r>
      <w:r w:rsidRPr="00380430">
        <w:rPr>
          <w:i/>
          <w:lang w:val="fr-CA"/>
        </w:rPr>
        <w:t>R. c. Marshall</w:t>
      </w:r>
      <w:r w:rsidRPr="00380430">
        <w:rPr>
          <w:lang w:val="fr-CA"/>
        </w:rPr>
        <w:t xml:space="preserve">, 2005 CSC 43, [2005] 2 R.C.S. 220; </w:t>
      </w:r>
      <w:r w:rsidRPr="00380430">
        <w:rPr>
          <w:i/>
          <w:lang w:val="fr-CA"/>
        </w:rPr>
        <w:t>Première nation de Betsiamites c. Canada (Procureur général)</w:t>
      </w:r>
      <w:r w:rsidRPr="00380430">
        <w:rPr>
          <w:lang w:val="fr-CA"/>
        </w:rPr>
        <w:t xml:space="preserve">, 2006 QCCS 2111; </w:t>
      </w:r>
      <w:r w:rsidRPr="00380430">
        <w:rPr>
          <w:i/>
          <w:lang w:val="fr-CA"/>
        </w:rPr>
        <w:t>Première Nation de Pessamit c. Québec (Procureur général)</w:t>
      </w:r>
      <w:r w:rsidRPr="00380430">
        <w:rPr>
          <w:lang w:val="fr-CA"/>
        </w:rPr>
        <w:t xml:space="preserve">, 2007 QCCS 794; </w:t>
      </w:r>
      <w:r w:rsidRPr="00380430">
        <w:rPr>
          <w:i/>
          <w:lang w:val="fr-CA"/>
        </w:rPr>
        <w:t>Xeni Gwet’in First Nations c. Riverside Forest Products Ltd.</w:t>
      </w:r>
      <w:r w:rsidRPr="00380430">
        <w:rPr>
          <w:lang w:val="fr-CA"/>
        </w:rPr>
        <w:t xml:space="preserve">, 2002 BCSC 1199, 4 B.C.L.R. (4th) 379; </w:t>
      </w:r>
      <w:r w:rsidRPr="00380430">
        <w:rPr>
          <w:i/>
          <w:lang w:val="fr-CA"/>
        </w:rPr>
        <w:t>Ahousaht Indian Band c. Attorney General of Canada</w:t>
      </w:r>
      <w:r w:rsidRPr="00380430">
        <w:rPr>
          <w:lang w:val="fr-CA"/>
        </w:rPr>
        <w:t>, 2006 BCSC 646;</w:t>
      </w:r>
      <w:r w:rsidRPr="00380430">
        <w:rPr>
          <w:i/>
          <w:lang w:val="fr-CA"/>
        </w:rPr>
        <w:t xml:space="preserve"> West Moberley First Nations c. British Columbia</w:t>
      </w:r>
      <w:r w:rsidRPr="00380430">
        <w:rPr>
          <w:lang w:val="fr-CA"/>
        </w:rPr>
        <w:t>, 2007 BCSC 1324, 78 B.C.L.R. (4th) 83;</w:t>
      </w:r>
      <w:r w:rsidRPr="00380430">
        <w:rPr>
          <w:i/>
          <w:lang w:val="fr-CA"/>
        </w:rPr>
        <w:t xml:space="preserve"> Cowichan Tribes c. Canada (Attorney General)</w:t>
      </w:r>
      <w:r w:rsidRPr="00380430">
        <w:rPr>
          <w:lang w:val="fr-CA"/>
        </w:rPr>
        <w:t>, 2017 BCSC 157</w:t>
      </w:r>
      <w:r w:rsidRPr="001208A9">
        <w:rPr>
          <w:lang w:val="fr-CA"/>
        </w:rPr>
        <w:t xml:space="preserve">5, 1 B.C.L.R. (6th) 214; </w:t>
      </w:r>
      <w:r w:rsidRPr="001208A9">
        <w:rPr>
          <w:i/>
          <w:lang w:val="fr-CA"/>
        </w:rPr>
        <w:t>Council of the Haida Nation c. British Columbia</w:t>
      </w:r>
      <w:r w:rsidRPr="001208A9">
        <w:rPr>
          <w:lang w:val="fr-CA"/>
        </w:rPr>
        <w:t xml:space="preserve">, 2017 BCSC 1665, 3 B.C.L.R. (6th) 346; </w:t>
      </w:r>
      <w:r w:rsidR="00ED101B">
        <w:rPr>
          <w:i/>
          <w:lang w:val="fr-CA"/>
        </w:rPr>
        <w:t>Calder c. Attorney</w:t>
      </w:r>
      <w:r w:rsidR="00ED101B">
        <w:rPr>
          <w:i/>
          <w:lang w:val="fr-CA"/>
        </w:rPr>
        <w:noBreakHyphen/>
      </w:r>
      <w:r w:rsidRPr="001208A9">
        <w:rPr>
          <w:i/>
          <w:lang w:val="fr-CA"/>
        </w:rPr>
        <w:t>General of British Columbia</w:t>
      </w:r>
      <w:r w:rsidRPr="001208A9">
        <w:rPr>
          <w:lang w:val="fr-CA"/>
        </w:rPr>
        <w:t xml:space="preserve"> (1969), 8 D.L.R. (3d) 59</w:t>
      </w:r>
      <w:r w:rsidR="006829B0">
        <w:rPr>
          <w:lang w:val="fr-CA"/>
        </w:rPr>
        <w:t>;</w:t>
      </w:r>
      <w:r w:rsidRPr="001208A9">
        <w:rPr>
          <w:lang w:val="fr-CA"/>
        </w:rPr>
        <w:t xml:space="preserve"> </w:t>
      </w:r>
      <w:r w:rsidR="006829B0" w:rsidRPr="006829B0">
        <w:rPr>
          <w:i/>
          <w:iCs/>
          <w:lang w:val="fr-CA"/>
        </w:rPr>
        <w:t>Calder c. Attorney</w:t>
      </w:r>
      <w:r w:rsidR="00ED101B">
        <w:rPr>
          <w:i/>
          <w:iCs/>
          <w:lang w:val="fr-CA"/>
        </w:rPr>
        <w:noBreakHyphen/>
      </w:r>
      <w:r w:rsidR="006829B0" w:rsidRPr="006829B0">
        <w:rPr>
          <w:i/>
          <w:iCs/>
          <w:lang w:val="fr-CA"/>
        </w:rPr>
        <w:t>General of British Columbia</w:t>
      </w:r>
      <w:r w:rsidR="006829B0">
        <w:rPr>
          <w:lang w:val="fr-CA"/>
        </w:rPr>
        <w:t xml:space="preserve"> </w:t>
      </w:r>
      <w:r w:rsidRPr="006829B0">
        <w:rPr>
          <w:lang w:val="fr-CA"/>
        </w:rPr>
        <w:t xml:space="preserve">(1970), 13 D.L.R. (3d) 64; </w:t>
      </w:r>
      <w:r w:rsidRPr="006829B0">
        <w:rPr>
          <w:i/>
          <w:lang w:val="fr-CA"/>
        </w:rPr>
        <w:t>R. c. Sundown</w:t>
      </w:r>
      <w:r w:rsidRPr="006829B0">
        <w:rPr>
          <w:lang w:val="fr-CA"/>
        </w:rPr>
        <w:t xml:space="preserve">, [1999] 1 R.C.S. 393; </w:t>
      </w:r>
      <w:r w:rsidRPr="006829B0">
        <w:rPr>
          <w:i/>
          <w:lang w:val="fr-CA"/>
        </w:rPr>
        <w:t>R. c. Côté</w:t>
      </w:r>
      <w:r w:rsidRPr="006829B0">
        <w:rPr>
          <w:lang w:val="fr-CA"/>
        </w:rPr>
        <w:t xml:space="preserve">, [1996] 3 R.C.S. 139; </w:t>
      </w:r>
      <w:r w:rsidRPr="006829B0">
        <w:rPr>
          <w:i/>
          <w:lang w:val="fr-CA"/>
        </w:rPr>
        <w:t>R. c. Sappier</w:t>
      </w:r>
      <w:r w:rsidRPr="006829B0">
        <w:rPr>
          <w:lang w:val="fr-CA"/>
        </w:rPr>
        <w:t xml:space="preserve">, 2006 CSC 54, [2006] 2 R.C.S. 686; </w:t>
      </w:r>
      <w:r w:rsidRPr="006829B0">
        <w:rPr>
          <w:i/>
          <w:lang w:val="fr-CA"/>
        </w:rPr>
        <w:t>Mitchell c. M.R.N.</w:t>
      </w:r>
      <w:r w:rsidRPr="006829B0">
        <w:rPr>
          <w:lang w:val="fr-CA"/>
        </w:rPr>
        <w:t xml:space="preserve">, 2001 CSC 33, [2001] 1 R.C.S. 911; </w:t>
      </w:r>
      <w:r w:rsidRPr="006829B0">
        <w:rPr>
          <w:i/>
          <w:lang w:val="fr-CA"/>
        </w:rPr>
        <w:t>R. c. Badger</w:t>
      </w:r>
      <w:r w:rsidRPr="006829B0">
        <w:rPr>
          <w:lang w:val="fr-CA"/>
        </w:rPr>
        <w:t xml:space="preserve">, [1996] 1 R.C.S. 771; </w:t>
      </w:r>
      <w:r w:rsidRPr="006829B0">
        <w:rPr>
          <w:i/>
          <w:lang w:val="fr-CA"/>
        </w:rPr>
        <w:t>Matamajaw Salmon Club c. Duchaine</w:t>
      </w:r>
      <w:r w:rsidRPr="006829B0">
        <w:rPr>
          <w:lang w:val="fr-CA"/>
        </w:rPr>
        <w:t xml:space="preserve">, [1921] 2 A.C. 426; </w:t>
      </w:r>
      <w:r w:rsidRPr="006829B0">
        <w:rPr>
          <w:i/>
          <w:lang w:val="fr-CA"/>
        </w:rPr>
        <w:t>Procureur général du Québec c. Club Appalaches inc.</w:t>
      </w:r>
      <w:r w:rsidRPr="006829B0">
        <w:rPr>
          <w:lang w:val="fr-CA"/>
        </w:rPr>
        <w:t>, [1999] R.J.Q. 2260;</w:t>
      </w:r>
      <w:r w:rsidRPr="006829B0">
        <w:rPr>
          <w:i/>
          <w:lang w:val="fr-CA"/>
        </w:rPr>
        <w:t xml:space="preserve"> Anglo Pacific Group PLC c. Ernst &amp; Young inc.</w:t>
      </w:r>
      <w:r w:rsidRPr="006829B0">
        <w:rPr>
          <w:lang w:val="fr-CA"/>
        </w:rPr>
        <w:t xml:space="preserve">, 2013 QCCA 1323, [2013] R.J.Q. 1264; </w:t>
      </w:r>
      <w:r w:rsidRPr="006829B0">
        <w:rPr>
          <w:i/>
          <w:lang w:val="fr-CA"/>
        </w:rPr>
        <w:t xml:space="preserve">Bolton c. Forest Pest Management Institute </w:t>
      </w:r>
      <w:r w:rsidRPr="006829B0">
        <w:rPr>
          <w:lang w:val="fr-CA"/>
        </w:rPr>
        <w:t xml:space="preserve">(1985), 66 B.C.L.R. 126; </w:t>
      </w:r>
      <w:r w:rsidRPr="006829B0">
        <w:rPr>
          <w:i/>
          <w:lang w:val="fr-CA"/>
        </w:rPr>
        <w:t>Mazur c. Sugarman &amp; Vir</w:t>
      </w:r>
      <w:r w:rsidRPr="006829B0">
        <w:rPr>
          <w:lang w:val="fr-CA"/>
        </w:rPr>
        <w:t xml:space="preserve"> (1938), 42 R.P.Q. 150; </w:t>
      </w:r>
      <w:r w:rsidRPr="006829B0">
        <w:rPr>
          <w:i/>
          <w:lang w:val="fr-CA"/>
        </w:rPr>
        <w:t>Senauer c. Porter</w:t>
      </w:r>
      <w:r w:rsidRPr="006829B0">
        <w:rPr>
          <w:lang w:val="fr-CA"/>
        </w:rPr>
        <w:t xml:space="preserve"> (1862), 7 L.C. Jur. 42; </w:t>
      </w:r>
      <w:r w:rsidRPr="006829B0">
        <w:rPr>
          <w:i/>
          <w:lang w:val="fr-CA"/>
        </w:rPr>
        <w:t>Equity Accounts Buyers Limited c. Jacob</w:t>
      </w:r>
      <w:r w:rsidRPr="006829B0">
        <w:rPr>
          <w:lang w:val="fr-CA"/>
        </w:rPr>
        <w:t xml:space="preserve">, [1972] C.S. 676; </w:t>
      </w:r>
      <w:r w:rsidRPr="006829B0">
        <w:rPr>
          <w:i/>
          <w:lang w:val="fr-CA"/>
        </w:rPr>
        <w:t>Union Acceptance Corporation Ltd. c. Guay</w:t>
      </w:r>
      <w:r w:rsidRPr="006829B0">
        <w:rPr>
          <w:lang w:val="fr-CA"/>
        </w:rPr>
        <w:t xml:space="preserve">, [1960] B.R. 827; </w:t>
      </w:r>
      <w:r w:rsidRPr="006829B0">
        <w:rPr>
          <w:i/>
          <w:lang w:val="fr-CA"/>
        </w:rPr>
        <w:t>Montréal (Ville) c. Lonardi</w:t>
      </w:r>
      <w:r w:rsidRPr="006829B0">
        <w:rPr>
          <w:lang w:val="fr-CA"/>
        </w:rPr>
        <w:t xml:space="preserve">, 2018 CSC 29, [2018] 2 R.C.S. 103; </w:t>
      </w:r>
      <w:r w:rsidRPr="006829B0">
        <w:rPr>
          <w:i/>
          <w:lang w:val="fr-CA"/>
        </w:rPr>
        <w:t>GreCon Dimter inc. c. J.R. Normand inc.</w:t>
      </w:r>
      <w:r w:rsidRPr="006829B0">
        <w:rPr>
          <w:lang w:val="fr-CA"/>
        </w:rPr>
        <w:t xml:space="preserve">, 2005 CSC 46, [2005] 2 R.C.S. 401; </w:t>
      </w:r>
      <w:r w:rsidR="006F62F1" w:rsidRPr="006829B0">
        <w:rPr>
          <w:i/>
          <w:lang w:val="fr-CA"/>
        </w:rPr>
        <w:t>Spar Aerospace Ltée c. American Mobile Satellite Corp.</w:t>
      </w:r>
      <w:r w:rsidR="006F62F1" w:rsidRPr="006829B0">
        <w:rPr>
          <w:lang w:val="fr-CA"/>
        </w:rPr>
        <w:t xml:space="preserve">, 2002 CSC 78, [2002] 4 R.C.S. 205; </w:t>
      </w:r>
      <w:r w:rsidRPr="006829B0">
        <w:rPr>
          <w:i/>
          <w:lang w:val="fr-CA"/>
        </w:rPr>
        <w:t>Trower and Sons, Ld. c. Ripstein</w:t>
      </w:r>
      <w:r w:rsidRPr="006829B0">
        <w:rPr>
          <w:lang w:val="fr-CA"/>
        </w:rPr>
        <w:t xml:space="preserve">, [1944] A.C. 254; </w:t>
      </w:r>
      <w:r w:rsidRPr="006829B0">
        <w:rPr>
          <w:i/>
          <w:lang w:val="fr-CA"/>
        </w:rPr>
        <w:t>Alimport (Empresa Cubana Importadora de Alimentos) c. Victoria Transport Ltd.</w:t>
      </w:r>
      <w:r w:rsidRPr="006829B0">
        <w:rPr>
          <w:lang w:val="fr-CA"/>
        </w:rPr>
        <w:t xml:space="preserve">, [1977] 2 R.C.S. 858; </w:t>
      </w:r>
      <w:r w:rsidRPr="006829B0">
        <w:rPr>
          <w:i/>
          <w:lang w:val="fr-CA"/>
        </w:rPr>
        <w:t>CGAO c. Groupe Anderson inc.</w:t>
      </w:r>
      <w:r w:rsidRPr="006829B0">
        <w:rPr>
          <w:lang w:val="fr-CA"/>
        </w:rPr>
        <w:t xml:space="preserve">, 2017 QCCA 923; </w:t>
      </w:r>
      <w:r w:rsidRPr="006829B0">
        <w:rPr>
          <w:i/>
          <w:lang w:val="fr-CA"/>
        </w:rPr>
        <w:t xml:space="preserve">Babineau c. Railway </w:t>
      </w:r>
      <w:r w:rsidRPr="006829B0">
        <w:rPr>
          <w:i/>
          <w:lang w:val="fr-CA"/>
        </w:rPr>
        <w:lastRenderedPageBreak/>
        <w:t>Centre Park Company Limited</w:t>
      </w:r>
      <w:r w:rsidRPr="006829B0">
        <w:rPr>
          <w:lang w:val="fr-CA"/>
        </w:rPr>
        <w:t xml:space="preserve"> (1914), 47 C.S. 161; </w:t>
      </w:r>
      <w:r w:rsidRPr="006829B0">
        <w:rPr>
          <w:i/>
          <w:lang w:val="fr-CA"/>
        </w:rPr>
        <w:t>Lamothe c. Hébert</w:t>
      </w:r>
      <w:r w:rsidRPr="006829B0">
        <w:rPr>
          <w:lang w:val="fr-CA"/>
        </w:rPr>
        <w:t xml:space="preserve"> (1916), 24 R.L. 182; </w:t>
      </w:r>
      <w:r w:rsidRPr="006829B0">
        <w:rPr>
          <w:i/>
          <w:lang w:val="fr-CA"/>
        </w:rPr>
        <w:t>Khan Resources Inc. c. W M Mining Co., LLC</w:t>
      </w:r>
      <w:r w:rsidRPr="006829B0">
        <w:rPr>
          <w:lang w:val="fr-CA"/>
        </w:rPr>
        <w:t xml:space="preserve"> (2006), 79 O.R. (3d) 411; </w:t>
      </w:r>
      <w:r w:rsidRPr="006829B0">
        <w:rPr>
          <w:i/>
          <w:lang w:val="fr-CA"/>
        </w:rPr>
        <w:t>War Eagle Mining Co. c. Robo Management Co.</w:t>
      </w:r>
      <w:r w:rsidRPr="006829B0">
        <w:rPr>
          <w:lang w:val="fr-CA"/>
        </w:rPr>
        <w:t xml:space="preserve"> </w:t>
      </w:r>
      <w:r w:rsidRPr="00F731C9">
        <w:rPr>
          <w:lang w:val="fr-CA"/>
        </w:rPr>
        <w:t xml:space="preserve">(1995), 13 B.C.L.R. (3d) 362; </w:t>
      </w:r>
      <w:r w:rsidRPr="00F731C9">
        <w:rPr>
          <w:i/>
          <w:lang w:val="fr-CA"/>
        </w:rPr>
        <w:t>Medicine Hat (City) c. Wilson</w:t>
      </w:r>
      <w:r w:rsidRPr="00F731C9">
        <w:rPr>
          <w:lang w:val="fr-CA"/>
        </w:rPr>
        <w:t xml:space="preserve">, 2000 ABCA 247, 271 A.R. 96; </w:t>
      </w:r>
      <w:r w:rsidRPr="00F731C9">
        <w:rPr>
          <w:i/>
          <w:lang w:val="fr-CA"/>
        </w:rPr>
        <w:t>Oerlikon Aerospatiale inc. c. Ouellette</w:t>
      </w:r>
      <w:r w:rsidRPr="00F731C9">
        <w:rPr>
          <w:lang w:val="fr-CA"/>
        </w:rPr>
        <w:t xml:space="preserve">, [1989] R.J.Q. 2680; </w:t>
      </w:r>
      <w:r w:rsidRPr="00F731C9">
        <w:rPr>
          <w:i/>
          <w:lang w:val="fr-CA"/>
        </w:rPr>
        <w:t>Crawford c. Fitch</w:t>
      </w:r>
      <w:r w:rsidRPr="00F731C9">
        <w:rPr>
          <w:lang w:val="fr-CA"/>
        </w:rPr>
        <w:t xml:space="preserve">, [1980] C.A. 583; </w:t>
      </w:r>
      <w:r w:rsidRPr="00F731C9">
        <w:rPr>
          <w:i/>
          <w:lang w:val="fr-CA"/>
        </w:rPr>
        <w:t>Société minière Louvem inc. c. Aur Resources Inc.</w:t>
      </w:r>
      <w:r w:rsidRPr="00F731C9">
        <w:rPr>
          <w:lang w:val="fr-CA"/>
        </w:rPr>
        <w:t xml:space="preserve">, [1990] R.J.Q. 772; </w:t>
      </w:r>
      <w:r w:rsidRPr="00F731C9">
        <w:rPr>
          <w:i/>
          <w:lang w:val="fr-CA"/>
        </w:rPr>
        <w:t>Plouffe c. Dufour</w:t>
      </w:r>
      <w:r w:rsidRPr="00F731C9">
        <w:rPr>
          <w:lang w:val="fr-CA"/>
        </w:rPr>
        <w:t xml:space="preserve">, [1992] R.J.Q. 47; </w:t>
      </w:r>
      <w:r w:rsidRPr="00F731C9">
        <w:rPr>
          <w:i/>
          <w:lang w:val="fr-CA"/>
        </w:rPr>
        <w:t>2848</w:t>
      </w:r>
      <w:r w:rsidRPr="00F731C9">
        <w:rPr>
          <w:i/>
          <w:lang w:val="fr-CA"/>
        </w:rPr>
        <w:noBreakHyphen/>
        <w:t>2883 Québec inc. c. Tomiuk</w:t>
      </w:r>
      <w:r w:rsidRPr="00F731C9">
        <w:rPr>
          <w:lang w:val="fr-CA"/>
        </w:rPr>
        <w:t xml:space="preserve">, [1993] R.D.J. 400; </w:t>
      </w:r>
      <w:r w:rsidRPr="00F731C9">
        <w:rPr>
          <w:i/>
          <w:lang w:val="fr-CA"/>
        </w:rPr>
        <w:t>Laflamme c. Groupe Norplex inc.</w:t>
      </w:r>
      <w:r w:rsidRPr="00F731C9">
        <w:rPr>
          <w:lang w:val="fr-CA"/>
        </w:rPr>
        <w:t xml:space="preserve">, 2017 QCCA 1459; </w:t>
      </w:r>
      <w:r w:rsidRPr="00F731C9">
        <w:rPr>
          <w:i/>
          <w:lang w:val="fr-CA"/>
        </w:rPr>
        <w:t>Montagne Laramee Developments Inc. c. Creit Properties Inc.</w:t>
      </w:r>
      <w:r w:rsidRPr="00F731C9">
        <w:rPr>
          <w:lang w:val="fr-CA"/>
        </w:rPr>
        <w:t xml:space="preserve"> (2000), 47 O.R. (3d) 729;</w:t>
      </w:r>
      <w:r w:rsidRPr="00F731C9">
        <w:rPr>
          <w:i/>
          <w:lang w:val="fr-CA"/>
        </w:rPr>
        <w:t xml:space="preserve"> Design Recovery Inc. c. Schneider</w:t>
      </w:r>
      <w:r w:rsidRPr="00F731C9">
        <w:rPr>
          <w:lang w:val="fr-CA"/>
        </w:rPr>
        <w:t xml:space="preserve">, 2003 SKCA 94, 238 Sask. R. 212; </w:t>
      </w:r>
      <w:r w:rsidRPr="00F731C9">
        <w:rPr>
          <w:i/>
          <w:lang w:val="fr-CA"/>
        </w:rPr>
        <w:t>Ciment du Saint</w:t>
      </w:r>
      <w:r w:rsidRPr="00F731C9">
        <w:rPr>
          <w:i/>
          <w:lang w:val="fr-CA"/>
        </w:rPr>
        <w:noBreakHyphen/>
        <w:t>Laurent inc. c. Barrette</w:t>
      </w:r>
      <w:r w:rsidRPr="00F731C9">
        <w:rPr>
          <w:lang w:val="fr-CA"/>
        </w:rPr>
        <w:t xml:space="preserve">, 2008 CSC 64, [2008] 3 R.C.S. 392; </w:t>
      </w:r>
      <w:r w:rsidRPr="00F731C9">
        <w:rPr>
          <w:i/>
          <w:lang w:val="fr-CA"/>
        </w:rPr>
        <w:t>R. c. Adams</w:t>
      </w:r>
      <w:r w:rsidRPr="00F731C9">
        <w:rPr>
          <w:lang w:val="fr-CA"/>
        </w:rPr>
        <w:t xml:space="preserve">, [1996] 3 R.C.S. 101; </w:t>
      </w:r>
      <w:r w:rsidRPr="00F731C9">
        <w:rPr>
          <w:i/>
          <w:lang w:val="fr-CA"/>
        </w:rPr>
        <w:t>Renvoi relatif à la sécession du Québec</w:t>
      </w:r>
      <w:r w:rsidRPr="00F731C9">
        <w:rPr>
          <w:lang w:val="fr-CA"/>
        </w:rPr>
        <w:t xml:space="preserve">, [1998] 2 R.C.S. 217; </w:t>
      </w:r>
      <w:r w:rsidRPr="00F731C9">
        <w:rPr>
          <w:i/>
          <w:lang w:val="fr-CA"/>
        </w:rPr>
        <w:t>Caron c. Alberta</w:t>
      </w:r>
      <w:r w:rsidRPr="00F731C9">
        <w:rPr>
          <w:lang w:val="fr-CA"/>
        </w:rPr>
        <w:t xml:space="preserve">, 2015 CSC 56, [2015] 3 R.C.S. 511; </w:t>
      </w:r>
      <w:r w:rsidRPr="00F731C9">
        <w:rPr>
          <w:i/>
          <w:lang w:val="fr-CA"/>
        </w:rPr>
        <w:t>R. c. Comeau</w:t>
      </w:r>
      <w:r w:rsidRPr="00F731C9">
        <w:rPr>
          <w:lang w:val="fr-CA"/>
        </w:rPr>
        <w:t xml:space="preserve">, 2018 CSC 15, [2018] 1 R.C.S. 342; </w:t>
      </w:r>
      <w:r w:rsidRPr="00F731C9">
        <w:rPr>
          <w:i/>
          <w:lang w:val="fr-CA"/>
        </w:rPr>
        <w:t>1068754 Alberta Ltd. c. Québec (Agence du revenu)</w:t>
      </w:r>
      <w:r w:rsidRPr="00F731C9">
        <w:rPr>
          <w:lang w:val="fr-CA"/>
        </w:rPr>
        <w:t>, 2019 CSC 37</w:t>
      </w:r>
      <w:r w:rsidR="00F92ACF">
        <w:rPr>
          <w:lang w:val="fr-CA"/>
        </w:rPr>
        <w:t>, [2019] 2 R.C.S. 993</w:t>
      </w:r>
      <w:r w:rsidRPr="00F731C9">
        <w:rPr>
          <w:lang w:val="fr-CA"/>
        </w:rPr>
        <w:t xml:space="preserve">; </w:t>
      </w:r>
      <w:r w:rsidRPr="00F731C9">
        <w:rPr>
          <w:i/>
          <w:lang w:val="fr-CA"/>
        </w:rPr>
        <w:t>Unifund Assurance Co. c. Insurance Corp. of British Columbia</w:t>
      </w:r>
      <w:r w:rsidRPr="00F731C9">
        <w:rPr>
          <w:lang w:val="fr-CA"/>
        </w:rPr>
        <w:t xml:space="preserve">, 2003 CSC 40, [2003] 2 R.C.S. 63; </w:t>
      </w:r>
      <w:r w:rsidRPr="00F731C9">
        <w:rPr>
          <w:i/>
          <w:lang w:val="fr-CA"/>
        </w:rPr>
        <w:t>New Brunswick Broadcasting Co. c. Nouvelle</w:t>
      </w:r>
      <w:r w:rsidRPr="00F731C9">
        <w:rPr>
          <w:i/>
          <w:lang w:val="fr-CA"/>
        </w:rPr>
        <w:noBreakHyphen/>
        <w:t>Écosse (Président de l’Assemblée législative)</w:t>
      </w:r>
      <w:r w:rsidRPr="00F731C9">
        <w:rPr>
          <w:lang w:val="fr-CA"/>
        </w:rPr>
        <w:t xml:space="preserve">, [1993] 1 R.C.S. 319; </w:t>
      </w:r>
      <w:r w:rsidRPr="00F731C9">
        <w:rPr>
          <w:i/>
          <w:lang w:val="fr-CA"/>
        </w:rPr>
        <w:t>Trial Lawyers Association of British Columbia c. Colombie</w:t>
      </w:r>
      <w:r w:rsidRPr="00F731C9">
        <w:rPr>
          <w:i/>
          <w:lang w:val="fr-CA"/>
        </w:rPr>
        <w:noBreakHyphen/>
        <w:t>Britannique (Procureur général)</w:t>
      </w:r>
      <w:r w:rsidRPr="00F731C9">
        <w:rPr>
          <w:lang w:val="fr-CA"/>
        </w:rPr>
        <w:t xml:space="preserve">, 2014 CSC 59, [2014] 3 R.C.S. 31; </w:t>
      </w:r>
      <w:r w:rsidRPr="00F731C9">
        <w:rPr>
          <w:i/>
          <w:lang w:val="fr-CA"/>
        </w:rPr>
        <w:t>B.C.G.E.U. c. Colombie</w:t>
      </w:r>
      <w:r w:rsidRPr="00F731C9">
        <w:rPr>
          <w:i/>
          <w:lang w:val="fr-CA"/>
        </w:rPr>
        <w:noBreakHyphen/>
        <w:t>Britannique (Procureur général)</w:t>
      </w:r>
      <w:r w:rsidRPr="00F731C9">
        <w:rPr>
          <w:lang w:val="fr-CA"/>
        </w:rPr>
        <w:t xml:space="preserve">, [1988] 2 R.C.S. 214; </w:t>
      </w:r>
      <w:r w:rsidRPr="00F731C9">
        <w:rPr>
          <w:i/>
          <w:lang w:val="fr-CA"/>
        </w:rPr>
        <w:t>Hryniak c. Mauldin</w:t>
      </w:r>
      <w:r w:rsidRPr="00F731C9">
        <w:rPr>
          <w:lang w:val="fr-CA"/>
        </w:rPr>
        <w:t xml:space="preserve">, 2014 CSC 7, [2014] 1 R.C.S. 87; </w:t>
      </w:r>
      <w:r w:rsidRPr="00F731C9">
        <w:rPr>
          <w:i/>
          <w:lang w:val="fr-CA"/>
        </w:rPr>
        <w:t>Endean c. Colombie</w:t>
      </w:r>
      <w:r w:rsidRPr="00F731C9">
        <w:rPr>
          <w:i/>
          <w:lang w:val="fr-CA"/>
        </w:rPr>
        <w:noBreakHyphen/>
        <w:t>Britannique</w:t>
      </w:r>
      <w:r w:rsidRPr="00F731C9">
        <w:rPr>
          <w:lang w:val="fr-CA"/>
        </w:rPr>
        <w:t xml:space="preserve">, </w:t>
      </w:r>
      <w:r w:rsidR="003F24BA">
        <w:rPr>
          <w:lang w:val="fr-CA"/>
        </w:rPr>
        <w:t>2016 CSC 42, [2016] 2 R.C.S. 162</w:t>
      </w:r>
      <w:r w:rsidRPr="00F731C9">
        <w:rPr>
          <w:lang w:val="fr-CA"/>
        </w:rPr>
        <w:t>;</w:t>
      </w:r>
      <w:r w:rsidR="00B30AF7" w:rsidRPr="00F731C9">
        <w:rPr>
          <w:lang w:val="fr-CA"/>
        </w:rPr>
        <w:t xml:space="preserve"> </w:t>
      </w:r>
      <w:r w:rsidRPr="00F731C9">
        <w:rPr>
          <w:i/>
          <w:lang w:val="fr-CA"/>
        </w:rPr>
        <w:t>Bande Kitkatla c. Colombie</w:t>
      </w:r>
      <w:r w:rsidRPr="00F731C9">
        <w:rPr>
          <w:i/>
          <w:lang w:val="fr-CA"/>
        </w:rPr>
        <w:noBreakHyphen/>
        <w:t>Britannique (Ministre des Petites et moyennes entreprises, du Tourisme et de la Culture)</w:t>
      </w:r>
      <w:r w:rsidRPr="00F731C9">
        <w:rPr>
          <w:lang w:val="fr-CA"/>
        </w:rPr>
        <w:t xml:space="preserve">, 2002 CSC 31, [2002] 2 R.C.S. 146; </w:t>
      </w:r>
      <w:r w:rsidRPr="00F731C9">
        <w:rPr>
          <w:i/>
          <w:lang w:val="fr-CA"/>
        </w:rPr>
        <w:t>Hereditary Chiefs Tony Hunt c. Attorney General of Canada</w:t>
      </w:r>
      <w:r w:rsidRPr="00F731C9">
        <w:rPr>
          <w:lang w:val="fr-CA"/>
        </w:rPr>
        <w:t xml:space="preserve">, 2006 BCSC 1368; </w:t>
      </w:r>
      <w:r w:rsidRPr="00F731C9">
        <w:rPr>
          <w:i/>
          <w:lang w:val="fr-CA"/>
        </w:rPr>
        <w:t>Colombie</w:t>
      </w:r>
      <w:r w:rsidRPr="00F731C9">
        <w:rPr>
          <w:i/>
          <w:lang w:val="fr-CA"/>
        </w:rPr>
        <w:noBreakHyphen/>
        <w:t>Britannique (Procureur général) c. Christie</w:t>
      </w:r>
      <w:r w:rsidRPr="00F731C9">
        <w:rPr>
          <w:lang w:val="fr-CA"/>
        </w:rPr>
        <w:t>, 2007 CSC 21, [2007] 1 R.C.S. 873;</w:t>
      </w:r>
      <w:r w:rsidRPr="00F731C9">
        <w:rPr>
          <w:rFonts w:eastAsiaTheme="minorHAnsi"/>
          <w:i/>
          <w:szCs w:val="24"/>
          <w:lang w:val="fr-CA" w:eastAsia="en-US"/>
        </w:rPr>
        <w:t xml:space="preserve"> </w:t>
      </w:r>
      <w:r w:rsidRPr="00F731C9">
        <w:rPr>
          <w:i/>
          <w:lang w:val="fr-CA"/>
        </w:rPr>
        <w:t>Loi de 1979 sur la location résidentielle</w:t>
      </w:r>
      <w:r w:rsidRPr="00F731C9">
        <w:rPr>
          <w:lang w:val="fr-CA"/>
        </w:rPr>
        <w:t>, [1981] 1 R.C.S. 714;</w:t>
      </w:r>
      <w:r w:rsidRPr="00F731C9">
        <w:rPr>
          <w:i/>
          <w:lang w:val="fr-CA"/>
        </w:rPr>
        <w:t xml:space="preserve"> Renvoi relatif à la Loi sur la Cour </w:t>
      </w:r>
      <w:r w:rsidRPr="00F731C9">
        <w:rPr>
          <w:i/>
          <w:lang w:val="fr-CA"/>
        </w:rPr>
        <w:lastRenderedPageBreak/>
        <w:t>suprême, art. 5 et 6</w:t>
      </w:r>
      <w:r w:rsidRPr="00F731C9">
        <w:rPr>
          <w:lang w:val="fr-CA"/>
        </w:rPr>
        <w:t>, 2014 CSC 21, [2014] 1 R.C.S. 433;</w:t>
      </w:r>
      <w:r w:rsidRPr="00F731C9">
        <w:rPr>
          <w:i/>
          <w:lang w:val="fr-CA"/>
        </w:rPr>
        <w:t xml:space="preserve"> Ewert c. Canada</w:t>
      </w:r>
      <w:r w:rsidRPr="00F731C9">
        <w:rPr>
          <w:lang w:val="fr-CA"/>
        </w:rPr>
        <w:t>, 2018 CSC 30, [2018] 2 R.C.S. 165;</w:t>
      </w:r>
      <w:r w:rsidRPr="00F731C9">
        <w:rPr>
          <w:i/>
          <w:lang w:val="fr-CA"/>
        </w:rPr>
        <w:t xml:space="preserve"> S.A. c. Metro Vancouver Housing Corp.</w:t>
      </w:r>
      <w:r w:rsidRPr="00F731C9">
        <w:rPr>
          <w:lang w:val="fr-CA"/>
        </w:rPr>
        <w:t>, 2019 CSC 4</w:t>
      </w:r>
      <w:r w:rsidR="00F92ACF">
        <w:rPr>
          <w:lang w:val="fr-CA"/>
        </w:rPr>
        <w:t>, [2019] 1 R.C.S. 99</w:t>
      </w:r>
      <w:r w:rsidRPr="00F731C9">
        <w:rPr>
          <w:lang w:val="fr-CA"/>
        </w:rPr>
        <w:t xml:space="preserve">; </w:t>
      </w:r>
      <w:r w:rsidRPr="00F731C9">
        <w:rPr>
          <w:i/>
          <w:lang w:val="fr-CA"/>
        </w:rPr>
        <w:t>Assiniboine c. Meeches</w:t>
      </w:r>
      <w:r w:rsidRPr="00F731C9">
        <w:rPr>
          <w:lang w:val="fr-CA"/>
        </w:rPr>
        <w:t>, 2013 CAF 114;</w:t>
      </w:r>
      <w:r w:rsidRPr="00F731C9">
        <w:rPr>
          <w:i/>
          <w:lang w:val="fr-CA"/>
        </w:rPr>
        <w:t xml:space="preserve"> William c. British Columbia</w:t>
      </w:r>
      <w:r w:rsidRPr="00F731C9">
        <w:rPr>
          <w:lang w:val="fr-CA"/>
        </w:rPr>
        <w:t>, 2002 BCSC 1904;</w:t>
      </w:r>
      <w:r w:rsidRPr="00F731C9">
        <w:rPr>
          <w:i/>
          <w:lang w:val="fr-CA"/>
        </w:rPr>
        <w:t xml:space="preserve"> Thomas c. RioTinto Alcan Inc.</w:t>
      </w:r>
      <w:r w:rsidRPr="00F731C9">
        <w:rPr>
          <w:lang w:val="fr-CA"/>
        </w:rPr>
        <w:t>, 2016 BCSC 1474, 92 C.P.C. (7th) 122;</w:t>
      </w:r>
      <w:r w:rsidRPr="00F731C9">
        <w:rPr>
          <w:i/>
          <w:lang w:val="fr-CA"/>
        </w:rPr>
        <w:t xml:space="preserve"> Re Labrador Boundary</w:t>
      </w:r>
      <w:r w:rsidRPr="00F731C9">
        <w:rPr>
          <w:lang w:val="fr-CA"/>
        </w:rPr>
        <w:t>, [1927] 2 D.L.R. 401;</w:t>
      </w:r>
      <w:r w:rsidRPr="00F731C9">
        <w:rPr>
          <w:i/>
          <w:lang w:val="fr-CA"/>
        </w:rPr>
        <w:t xml:space="preserve"> Angle c. </w:t>
      </w:r>
      <w:r w:rsidRPr="00F731C9">
        <w:rPr>
          <w:i/>
          <w:iCs/>
          <w:lang w:val="fr-CA"/>
        </w:rPr>
        <w:t>Ministre du Revenu National</w:t>
      </w:r>
      <w:r w:rsidRPr="00F731C9">
        <w:rPr>
          <w:lang w:val="fr-CA"/>
        </w:rPr>
        <w:t xml:space="preserve">, [1975] 2 R.C.S. 248; </w:t>
      </w:r>
      <w:r w:rsidRPr="00F731C9">
        <w:rPr>
          <w:i/>
          <w:lang w:val="fr-CA" w:bidi="en-US"/>
        </w:rPr>
        <w:t>Penner c. Niagara (Commission régionale de services policiers)</w:t>
      </w:r>
      <w:r w:rsidRPr="00F731C9">
        <w:rPr>
          <w:lang w:val="fr-CA" w:bidi="en-US"/>
        </w:rPr>
        <w:t>, 2013 CSC 19, [2013] 2 R.C.S. 125;</w:t>
      </w:r>
      <w:r w:rsidRPr="00F731C9">
        <w:rPr>
          <w:i/>
          <w:lang w:val="fr-CA"/>
        </w:rPr>
        <w:t xml:space="preserve"> Mikisew Cree First Nation c. Canada (Gouverneur général en conseil)</w:t>
      </w:r>
      <w:r w:rsidRPr="00F731C9">
        <w:rPr>
          <w:lang w:val="fr-CA"/>
        </w:rPr>
        <w:t xml:space="preserve">, 2018 CSC 40, [2018] 2 R.C.S. 765; </w:t>
      </w:r>
      <w:r w:rsidRPr="00F731C9">
        <w:rPr>
          <w:i/>
          <w:lang w:val="fr-CA"/>
        </w:rPr>
        <w:t>Canada (Procureur général) c. Thouin</w:t>
      </w:r>
      <w:r w:rsidRPr="00F731C9">
        <w:rPr>
          <w:lang w:val="fr-CA"/>
        </w:rPr>
        <w:t>, 2017 CSC 46, [2017] 2 R.C.S. 184;</w:t>
      </w:r>
      <w:r w:rsidRPr="00F731C9">
        <w:rPr>
          <w:i/>
          <w:lang w:val="fr-CA"/>
        </w:rPr>
        <w:t xml:space="preserve"> Athabasca Chipewyan First Nation c. Canada (Minister of Indian Affairs and Northern Development)</w:t>
      </w:r>
      <w:r w:rsidRPr="00F731C9">
        <w:rPr>
          <w:lang w:val="fr-CA"/>
        </w:rPr>
        <w:t>, 2001 ABCA 112, 199 D.L.R. (4th) 452;</w:t>
      </w:r>
      <w:r w:rsidRPr="00F731C9">
        <w:rPr>
          <w:i/>
          <w:lang w:val="fr-CA" w:bidi="en-US"/>
        </w:rPr>
        <w:t xml:space="preserve"> Sauve c. Quebec (Attorney General)</w:t>
      </w:r>
      <w:r w:rsidRPr="00F731C9">
        <w:rPr>
          <w:lang w:val="fr-CA" w:bidi="en-US"/>
        </w:rPr>
        <w:t>, 2011 ONCA 369;</w:t>
      </w:r>
      <w:r w:rsidRPr="00F731C9">
        <w:rPr>
          <w:i/>
          <w:lang w:val="fr-CA" w:bidi="en-US"/>
        </w:rPr>
        <w:t xml:space="preserve"> Medvid c. Saskatchewan (Minister of Health)</w:t>
      </w:r>
      <w:r w:rsidRPr="00F731C9">
        <w:rPr>
          <w:lang w:val="fr-CA" w:bidi="en-US"/>
        </w:rPr>
        <w:t>, 2012 SKCA 49, 349 D.L.R. (4th) 72;</w:t>
      </w:r>
      <w:r w:rsidRPr="00F731C9">
        <w:rPr>
          <w:i/>
          <w:lang w:val="fr-CA" w:bidi="en-US"/>
        </w:rPr>
        <w:t xml:space="preserve"> Constructions Beauce-Atlas inc. c. Pomerleau inc.</w:t>
      </w:r>
      <w:r w:rsidRPr="00F731C9">
        <w:rPr>
          <w:lang w:val="fr-CA" w:bidi="en-US"/>
        </w:rPr>
        <w:t>, 2013 QCCS 4077;</w:t>
      </w:r>
      <w:r w:rsidRPr="00F731C9">
        <w:rPr>
          <w:lang w:val="fr-CA"/>
        </w:rPr>
        <w:t xml:space="preserve"> </w:t>
      </w:r>
      <w:r w:rsidRPr="00F731C9">
        <w:rPr>
          <w:i/>
          <w:lang w:val="fr-CA"/>
        </w:rPr>
        <w:t>Bande indienne des Lax Kw’alaams c. Canada (Procureur général)</w:t>
      </w:r>
      <w:r w:rsidRPr="00F731C9">
        <w:rPr>
          <w:lang w:val="fr-CA"/>
        </w:rPr>
        <w:t xml:space="preserve">, 2011 CSC 56, [2011] 3 R.C.S. 535; </w:t>
      </w:r>
      <w:r w:rsidRPr="00F731C9">
        <w:rPr>
          <w:i/>
          <w:iCs/>
          <w:lang w:val="fr-CA"/>
        </w:rPr>
        <w:t>AIC Limitée c. Fischer</w:t>
      </w:r>
      <w:r w:rsidRPr="00F731C9">
        <w:rPr>
          <w:lang w:val="fr-CA"/>
        </w:rPr>
        <w:t>,</w:t>
      </w:r>
      <w:r w:rsidRPr="00F731C9">
        <w:rPr>
          <w:i/>
          <w:iCs/>
          <w:lang w:val="fr-CA"/>
        </w:rPr>
        <w:t> </w:t>
      </w:r>
      <w:r w:rsidRPr="00F731C9">
        <w:rPr>
          <w:lang w:val="fr-CA"/>
        </w:rPr>
        <w:t xml:space="preserve">2013 CSC 69, [2013] 3 R.C.S. 949; </w:t>
      </w:r>
      <w:r w:rsidRPr="00F731C9">
        <w:rPr>
          <w:i/>
          <w:lang w:val="fr-CA"/>
        </w:rPr>
        <w:t>Première nation crie Mikisew c. Canada (Ministre du Patrimoine canadien)</w:t>
      </w:r>
      <w:r w:rsidRPr="00F731C9">
        <w:rPr>
          <w:lang w:val="fr-CA"/>
        </w:rPr>
        <w:t xml:space="preserve">, 2005 CSC 69, [2005] 3 R.C.S. 388; </w:t>
      </w:r>
      <w:r w:rsidRPr="00F731C9">
        <w:rPr>
          <w:i/>
          <w:lang w:val="fr-CA"/>
        </w:rPr>
        <w:t>Chippewas of Sarnia Band c. Canada (Attorney General)</w:t>
      </w:r>
      <w:r w:rsidRPr="00F731C9">
        <w:rPr>
          <w:lang w:val="fr-CA"/>
        </w:rPr>
        <w:t xml:space="preserve"> (2000), 51 O.R. (3d) 641.</w:t>
      </w:r>
    </w:p>
    <w:p w:rsidR="004D7D95" w:rsidRPr="00F731C9" w:rsidRDefault="004D7D95" w:rsidP="00A55AB3">
      <w:pPr>
        <w:pStyle w:val="SCCNormalDoubleSpacing"/>
        <w:spacing w:after="720" w:line="240" w:lineRule="auto"/>
        <w:rPr>
          <w:b/>
          <w:lang w:val="fr-CA"/>
        </w:rPr>
      </w:pPr>
      <w:r w:rsidRPr="00F731C9">
        <w:rPr>
          <w:b/>
          <w:lang w:val="fr-CA"/>
        </w:rPr>
        <w:t>Lois et règlements cités</w:t>
      </w:r>
    </w:p>
    <w:p w:rsidR="0084295C" w:rsidRPr="007F00F5" w:rsidRDefault="0084295C" w:rsidP="00F06271">
      <w:pPr>
        <w:pStyle w:val="SCCNormalDoubleSpacing"/>
        <w:spacing w:after="240" w:line="240" w:lineRule="auto"/>
        <w:ind w:left="540" w:hanging="540"/>
        <w:rPr>
          <w:lang w:val="fr-CA"/>
        </w:rPr>
      </w:pPr>
      <w:r w:rsidRPr="00F731C9">
        <w:rPr>
          <w:i/>
          <w:lang w:val="fr-CA"/>
        </w:rPr>
        <w:t>Acte de l</w:t>
      </w:r>
      <w:r w:rsidR="009F72D8" w:rsidRPr="00F731C9">
        <w:rPr>
          <w:i/>
          <w:lang w:val="fr-CA"/>
        </w:rPr>
        <w:t>’</w:t>
      </w:r>
      <w:r w:rsidRPr="00F731C9">
        <w:rPr>
          <w:i/>
          <w:lang w:val="fr-CA"/>
        </w:rPr>
        <w:t>Amérique du Nord britannique, 1871</w:t>
      </w:r>
      <w:r w:rsidR="00A55AB3">
        <w:rPr>
          <w:lang w:val="fr-CA"/>
        </w:rPr>
        <w:t xml:space="preserve"> (R.</w:t>
      </w:r>
      <w:r w:rsidR="00A55AB3">
        <w:rPr>
          <w:lang w:val="fr-CA"/>
        </w:rPr>
        <w:noBreakHyphen/>
      </w:r>
      <w:r w:rsidR="00C70E7E">
        <w:rPr>
          <w:lang w:val="fr-CA"/>
        </w:rPr>
        <w:t>U.), 34 &amp; 35 Vict., c. </w:t>
      </w:r>
      <w:r w:rsidRPr="00F731C9">
        <w:rPr>
          <w:lang w:val="fr-CA"/>
        </w:rPr>
        <w:t>28 (reproduit sous l</w:t>
      </w:r>
      <w:r w:rsidR="009F72D8" w:rsidRPr="00F731C9">
        <w:rPr>
          <w:lang w:val="fr-CA"/>
        </w:rPr>
        <w:t>’</w:t>
      </w:r>
      <w:r w:rsidRPr="00F731C9">
        <w:rPr>
          <w:lang w:val="fr-CA"/>
        </w:rPr>
        <w:t xml:space="preserve">intitulé </w:t>
      </w:r>
      <w:r w:rsidRPr="00F731C9">
        <w:rPr>
          <w:i/>
          <w:lang w:val="fr-CA"/>
        </w:rPr>
        <w:t xml:space="preserve">Loi constitutionnelle de </w:t>
      </w:r>
      <w:r w:rsidRPr="007F00F5">
        <w:rPr>
          <w:i/>
          <w:lang w:val="fr-CA"/>
        </w:rPr>
        <w:t>1871</w:t>
      </w:r>
      <w:r w:rsidRPr="007F00F5">
        <w:rPr>
          <w:lang w:val="fr-CA"/>
        </w:rPr>
        <w:t xml:space="preserve"> dans L.R.C. 1985, app. II, n</w:t>
      </w:r>
      <w:r w:rsidRPr="007F00F5">
        <w:rPr>
          <w:vertAlign w:val="superscript"/>
          <w:lang w:val="fr-CA"/>
        </w:rPr>
        <w:t>o</w:t>
      </w:r>
      <w:r w:rsidRPr="007F00F5">
        <w:rPr>
          <w:lang w:val="fr-CA"/>
        </w:rPr>
        <w:t> 11).</w:t>
      </w:r>
    </w:p>
    <w:p w:rsidR="00F06271" w:rsidRPr="007F00F5" w:rsidRDefault="00F06271" w:rsidP="00F06271">
      <w:pPr>
        <w:pStyle w:val="SCCNormalDoubleSpacing"/>
        <w:spacing w:after="240" w:line="240" w:lineRule="auto"/>
        <w:ind w:left="540" w:hanging="540"/>
        <w:rPr>
          <w:lang w:val="fr-CA"/>
        </w:rPr>
      </w:pPr>
      <w:r w:rsidRPr="007F00F5">
        <w:rPr>
          <w:i/>
          <w:lang w:val="fr-CA"/>
        </w:rPr>
        <w:t>Acte de l</w:t>
      </w:r>
      <w:r w:rsidR="009F72D8">
        <w:rPr>
          <w:i/>
          <w:lang w:val="fr-CA"/>
        </w:rPr>
        <w:t>’</w:t>
      </w:r>
      <w:r w:rsidRPr="007F00F5">
        <w:rPr>
          <w:i/>
          <w:lang w:val="fr-CA"/>
        </w:rPr>
        <w:t>Amérique du Nord britannique, 1949</w:t>
      </w:r>
      <w:r w:rsidR="00A55AB3">
        <w:rPr>
          <w:lang w:val="fr-CA"/>
        </w:rPr>
        <w:t xml:space="preserve"> (R.</w:t>
      </w:r>
      <w:r w:rsidR="00A55AB3">
        <w:rPr>
          <w:lang w:val="fr-CA"/>
        </w:rPr>
        <w:noBreakHyphen/>
      </w:r>
      <w:r w:rsidR="00C70E7E">
        <w:rPr>
          <w:lang w:val="fr-CA"/>
        </w:rPr>
        <w:t>U.), 12, 13 &amp; 14 Geo. 6, c. </w:t>
      </w:r>
      <w:r w:rsidRPr="007F00F5">
        <w:rPr>
          <w:lang w:val="fr-CA"/>
        </w:rPr>
        <w:t xml:space="preserve">22 (reproduit sous </w:t>
      </w:r>
      <w:r w:rsidR="00B3710B" w:rsidRPr="007F00F5">
        <w:rPr>
          <w:lang w:val="fr-CA"/>
        </w:rPr>
        <w:t>l</w:t>
      </w:r>
      <w:r w:rsidR="009F72D8">
        <w:rPr>
          <w:lang w:val="fr-CA"/>
        </w:rPr>
        <w:t>’</w:t>
      </w:r>
      <w:r w:rsidR="00B3710B" w:rsidRPr="007F00F5">
        <w:rPr>
          <w:lang w:val="fr-CA"/>
        </w:rPr>
        <w:t>intitulé</w:t>
      </w:r>
      <w:r w:rsidR="00B3710B" w:rsidRPr="007F00F5">
        <w:rPr>
          <w:i/>
          <w:lang w:val="fr-CA"/>
        </w:rPr>
        <w:t xml:space="preserve"> </w:t>
      </w:r>
      <w:r w:rsidR="00A55AB3">
        <w:rPr>
          <w:i/>
          <w:lang w:val="fr-CA"/>
        </w:rPr>
        <w:t>Loi sur Terre</w:t>
      </w:r>
      <w:r w:rsidR="00A55AB3">
        <w:rPr>
          <w:i/>
          <w:lang w:val="fr-CA"/>
        </w:rPr>
        <w:noBreakHyphen/>
      </w:r>
      <w:r w:rsidRPr="007F00F5">
        <w:rPr>
          <w:i/>
          <w:lang w:val="fr-CA"/>
        </w:rPr>
        <w:t>Neuve</w:t>
      </w:r>
      <w:r w:rsidRPr="007F00F5">
        <w:rPr>
          <w:lang w:val="fr-CA"/>
        </w:rPr>
        <w:t xml:space="preserve"> dans L.R.C. 1985, app. II, n</w:t>
      </w:r>
      <w:r w:rsidRPr="007F00F5">
        <w:rPr>
          <w:vertAlign w:val="superscript"/>
          <w:lang w:val="fr-CA"/>
        </w:rPr>
        <w:t>o</w:t>
      </w:r>
      <w:r w:rsidR="00A55AB3">
        <w:rPr>
          <w:lang w:val="fr-CA"/>
        </w:rPr>
        <w:t xml:space="preserve"> 32), </w:t>
      </w:r>
      <w:proofErr w:type="gramStart"/>
      <w:r w:rsidR="00A55AB3">
        <w:rPr>
          <w:lang w:val="fr-CA"/>
        </w:rPr>
        <w:t>ann.,</w:t>
      </w:r>
      <w:proofErr w:type="gramEnd"/>
      <w:r w:rsidR="00A55AB3">
        <w:rPr>
          <w:lang w:val="fr-CA"/>
        </w:rPr>
        <w:t xml:space="preserve"> art. </w:t>
      </w:r>
      <w:r w:rsidR="00CA1B7E" w:rsidRPr="007F00F5">
        <w:rPr>
          <w:lang w:val="fr-CA"/>
        </w:rPr>
        <w:t xml:space="preserve">2, </w:t>
      </w:r>
      <w:r w:rsidRPr="007F00F5">
        <w:rPr>
          <w:lang w:val="fr-CA"/>
        </w:rPr>
        <w:t>37.</w:t>
      </w:r>
    </w:p>
    <w:p w:rsidR="0061412E" w:rsidRPr="0061412E" w:rsidRDefault="0061412E" w:rsidP="00B820BA">
      <w:pPr>
        <w:pStyle w:val="SCCNormalDoubleSpacing"/>
        <w:spacing w:after="240" w:line="240" w:lineRule="auto"/>
        <w:ind w:left="540" w:hanging="540"/>
        <w:rPr>
          <w:lang w:val="fr-CA"/>
        </w:rPr>
      </w:pPr>
      <w:r w:rsidRPr="0061412E">
        <w:rPr>
          <w:i/>
          <w:lang w:val="fr-CA"/>
        </w:rPr>
        <w:t>Charte canadienne des droits et libertés</w:t>
      </w:r>
      <w:r>
        <w:rPr>
          <w:lang w:val="fr-CA"/>
        </w:rPr>
        <w:t>.</w:t>
      </w:r>
    </w:p>
    <w:p w:rsidR="0061412E" w:rsidRDefault="0061412E" w:rsidP="00B820BA">
      <w:pPr>
        <w:pStyle w:val="SCCNormalDoubleSpacing"/>
        <w:spacing w:after="240" w:line="240" w:lineRule="auto"/>
        <w:ind w:left="540" w:hanging="540"/>
        <w:rPr>
          <w:lang w:val="fr-CA"/>
        </w:rPr>
      </w:pPr>
      <w:r w:rsidRPr="0061412E">
        <w:rPr>
          <w:i/>
          <w:lang w:val="fr-CA"/>
        </w:rPr>
        <w:lastRenderedPageBreak/>
        <w:t>Charte des droits et libertés de la personne</w:t>
      </w:r>
      <w:r w:rsidR="000916C5">
        <w:rPr>
          <w:lang w:val="fr-CA"/>
        </w:rPr>
        <w:t>, RLRQ, c. </w:t>
      </w:r>
      <w:r w:rsidRPr="0061412E">
        <w:rPr>
          <w:lang w:val="fr-CA"/>
        </w:rPr>
        <w:t>C</w:t>
      </w:r>
      <w:r w:rsidR="000916C5">
        <w:rPr>
          <w:lang w:val="fr-CA"/>
        </w:rPr>
        <w:noBreakHyphen/>
      </w:r>
      <w:r w:rsidRPr="0061412E">
        <w:rPr>
          <w:lang w:val="fr-CA"/>
        </w:rPr>
        <w:t>12</w:t>
      </w:r>
      <w:r>
        <w:rPr>
          <w:lang w:val="fr-CA"/>
        </w:rPr>
        <w:t>.</w:t>
      </w:r>
    </w:p>
    <w:p w:rsidR="00762F8F" w:rsidRPr="00762F8F" w:rsidRDefault="008433FD" w:rsidP="00B820BA">
      <w:pPr>
        <w:pStyle w:val="SCCNormalDoubleSpacing"/>
        <w:spacing w:after="240" w:line="240" w:lineRule="auto"/>
        <w:ind w:left="540" w:hanging="540"/>
        <w:rPr>
          <w:lang w:val="fr-CA"/>
        </w:rPr>
      </w:pPr>
      <w:r w:rsidRPr="00762F8F">
        <w:rPr>
          <w:rFonts w:eastAsiaTheme="minorEastAsia"/>
          <w:i/>
          <w:lang w:val="fr-CA"/>
        </w:rPr>
        <w:t>Code civil du Québec</w:t>
      </w:r>
      <w:r w:rsidRPr="00762F8F">
        <w:rPr>
          <w:rFonts w:eastAsiaTheme="minorEastAsia"/>
          <w:lang w:val="fr-CA"/>
        </w:rPr>
        <w:t xml:space="preserve">, </w:t>
      </w:r>
      <w:r w:rsidR="00762F8F" w:rsidRPr="00762F8F">
        <w:rPr>
          <w:lang w:val="fr-CA"/>
        </w:rPr>
        <w:t>Livre quatrième</w:t>
      </w:r>
      <w:r w:rsidR="00762F8F">
        <w:rPr>
          <w:lang w:val="fr-CA"/>
        </w:rPr>
        <w:t>, art.</w:t>
      </w:r>
      <w:r w:rsidR="00762F8F" w:rsidRPr="00762F8F">
        <w:rPr>
          <w:lang w:val="fr-CA"/>
        </w:rPr>
        <w:t> 947, 976, 1119, 1120, 1299, 1457</w:t>
      </w:r>
      <w:r w:rsidR="00762F8F">
        <w:rPr>
          <w:lang w:val="fr-CA"/>
        </w:rPr>
        <w:t xml:space="preserve">, Livre </w:t>
      </w:r>
      <w:r w:rsidR="00762F8F" w:rsidRPr="00762F8F">
        <w:rPr>
          <w:lang w:val="fr-CA"/>
        </w:rPr>
        <w:t>dixième</w:t>
      </w:r>
      <w:r w:rsidR="00762F8F">
        <w:rPr>
          <w:lang w:val="fr-CA"/>
        </w:rPr>
        <w:t xml:space="preserve">, </w:t>
      </w:r>
      <w:r w:rsidR="00762F8F" w:rsidRPr="00762F8F">
        <w:rPr>
          <w:lang w:val="fr-CA"/>
        </w:rPr>
        <w:t>3076 à 3168</w:t>
      </w:r>
      <w:r w:rsidR="00762F8F">
        <w:rPr>
          <w:lang w:val="fr-CA"/>
        </w:rPr>
        <w:t xml:space="preserve">, </w:t>
      </w:r>
      <w:r w:rsidR="00762F8F" w:rsidRPr="00762F8F">
        <w:rPr>
          <w:lang w:val="fr-CA"/>
        </w:rPr>
        <w:t>3078, 3081, 3097</w:t>
      </w:r>
      <w:r w:rsidR="00762F8F">
        <w:rPr>
          <w:lang w:val="fr-CA"/>
        </w:rPr>
        <w:t xml:space="preserve">, </w:t>
      </w:r>
      <w:r w:rsidR="00762F8F" w:rsidRPr="00762F8F">
        <w:rPr>
          <w:lang w:val="fr-CA"/>
        </w:rPr>
        <w:t>titre troisième, chapitre premier</w:t>
      </w:r>
      <w:r w:rsidR="00762F8F">
        <w:rPr>
          <w:lang w:val="fr-CA"/>
        </w:rPr>
        <w:t xml:space="preserve">, </w:t>
      </w:r>
      <w:r w:rsidR="00762F8F" w:rsidRPr="00762F8F">
        <w:rPr>
          <w:lang w:val="fr-CA"/>
        </w:rPr>
        <w:t>3134, 3135</w:t>
      </w:r>
      <w:r w:rsidR="00762F8F">
        <w:rPr>
          <w:lang w:val="fr-CA"/>
        </w:rPr>
        <w:t xml:space="preserve">, chapitre </w:t>
      </w:r>
      <w:r w:rsidR="00762F8F" w:rsidRPr="00762F8F">
        <w:rPr>
          <w:lang w:val="fr-CA"/>
        </w:rPr>
        <w:t>deuxième</w:t>
      </w:r>
      <w:r w:rsidR="00762F8F">
        <w:rPr>
          <w:lang w:val="fr-CA"/>
        </w:rPr>
        <w:t>, section I, 3141 à 3147, section II, 3148 à 3151, section III, 3152, 3153, 3154.</w:t>
      </w:r>
    </w:p>
    <w:p w:rsidR="00F30761" w:rsidRPr="00F30761" w:rsidRDefault="00F30761" w:rsidP="00F30761">
      <w:pPr>
        <w:pStyle w:val="SCCNormalDoubleSpacing"/>
        <w:spacing w:after="240" w:line="240" w:lineRule="auto"/>
        <w:ind w:left="540" w:hanging="540"/>
        <w:rPr>
          <w:i/>
          <w:lang w:val="fr-CA"/>
        </w:rPr>
      </w:pPr>
      <w:r w:rsidRPr="00762F8F">
        <w:rPr>
          <w:i/>
          <w:lang w:val="fr-CA"/>
        </w:rPr>
        <w:t>Code civil du Québec</w:t>
      </w:r>
      <w:r w:rsidRPr="00762F8F">
        <w:rPr>
          <w:lang w:val="fr-CA"/>
        </w:rPr>
        <w:t>, projet de loi 125, 1</w:t>
      </w:r>
      <w:r w:rsidRPr="00762F8F">
        <w:rPr>
          <w:vertAlign w:val="superscript"/>
          <w:lang w:val="fr-CA"/>
        </w:rPr>
        <w:t>re</w:t>
      </w:r>
      <w:r w:rsidRPr="00762F8F">
        <w:rPr>
          <w:lang w:val="fr-CA"/>
        </w:rPr>
        <w:t xml:space="preserve"> </w:t>
      </w:r>
      <w:proofErr w:type="gramStart"/>
      <w:r w:rsidRPr="00762F8F">
        <w:rPr>
          <w:lang w:val="fr-CA"/>
        </w:rPr>
        <w:t>sess.,</w:t>
      </w:r>
      <w:proofErr w:type="gramEnd"/>
      <w:r w:rsidRPr="00762F8F">
        <w:rPr>
          <w:lang w:val="fr-CA"/>
        </w:rPr>
        <w:t xml:space="preserve"> 34</w:t>
      </w:r>
      <w:r w:rsidRPr="00762F8F">
        <w:rPr>
          <w:vertAlign w:val="superscript"/>
          <w:lang w:val="fr-CA"/>
        </w:rPr>
        <w:t>e</w:t>
      </w:r>
      <w:r w:rsidR="00A55AB3">
        <w:rPr>
          <w:lang w:val="fr-CA"/>
        </w:rPr>
        <w:t xml:space="preserve"> lég., Québec, 1990, art. </w:t>
      </w:r>
      <w:r w:rsidRPr="00762F8F">
        <w:rPr>
          <w:lang w:val="fr-CA"/>
        </w:rPr>
        <w:t>3130.</w:t>
      </w:r>
    </w:p>
    <w:p w:rsidR="00197363" w:rsidRPr="008D1B42" w:rsidRDefault="00197363" w:rsidP="00B820BA">
      <w:pPr>
        <w:pStyle w:val="SCCNormalDoubleSpacing"/>
        <w:spacing w:after="240" w:line="240" w:lineRule="auto"/>
        <w:ind w:left="540" w:hanging="540"/>
        <w:rPr>
          <w:lang w:val="fr-CA"/>
        </w:rPr>
      </w:pPr>
      <w:r w:rsidRPr="00B81CC8">
        <w:rPr>
          <w:i/>
          <w:lang w:val="fr-CA"/>
        </w:rPr>
        <w:t>Code de procédure civile</w:t>
      </w:r>
      <w:r>
        <w:rPr>
          <w:lang w:val="fr-CA"/>
        </w:rPr>
        <w:t>, RLRQ, c.</w:t>
      </w:r>
      <w:r w:rsidR="000916C5">
        <w:rPr>
          <w:lang w:val="fr-CA"/>
        </w:rPr>
        <w:t> </w:t>
      </w:r>
      <w:r>
        <w:rPr>
          <w:lang w:val="fr-CA"/>
        </w:rPr>
        <w:t>C</w:t>
      </w:r>
      <w:r w:rsidR="000916C5">
        <w:rPr>
          <w:lang w:val="fr-CA"/>
        </w:rPr>
        <w:noBreakHyphen/>
      </w:r>
      <w:r>
        <w:rPr>
          <w:lang w:val="fr-CA"/>
        </w:rPr>
        <w:t xml:space="preserve">25, </w:t>
      </w:r>
      <w:r w:rsidR="000916C5">
        <w:rPr>
          <w:lang w:val="fr-CA"/>
        </w:rPr>
        <w:t>art. </w:t>
      </w:r>
      <w:r w:rsidR="00285B30">
        <w:rPr>
          <w:lang w:val="fr-CA"/>
        </w:rPr>
        <w:t xml:space="preserve">31, </w:t>
      </w:r>
      <w:r w:rsidR="000D7722" w:rsidRPr="000D7722">
        <w:rPr>
          <w:lang w:val="fr-CA"/>
        </w:rPr>
        <w:t>73</w:t>
      </w:r>
      <w:r w:rsidR="000D7722">
        <w:rPr>
          <w:lang w:val="fr-CA"/>
        </w:rPr>
        <w:t xml:space="preserve">, </w:t>
      </w:r>
      <w:r>
        <w:rPr>
          <w:lang w:val="fr-CA"/>
        </w:rPr>
        <w:t>95.</w:t>
      </w:r>
    </w:p>
    <w:p w:rsidR="005E59DF" w:rsidRPr="006A4896" w:rsidRDefault="00E22C64" w:rsidP="006A4896">
      <w:pPr>
        <w:pStyle w:val="SCCNormalDoubleSpacing"/>
        <w:spacing w:after="240" w:line="240" w:lineRule="auto"/>
        <w:ind w:left="540" w:hanging="540"/>
        <w:rPr>
          <w:i/>
          <w:iCs/>
          <w:lang w:val="fr-CA"/>
        </w:rPr>
      </w:pPr>
      <w:r w:rsidRPr="006A4896">
        <w:rPr>
          <w:i/>
          <w:iCs/>
          <w:lang w:val="fr-CA"/>
        </w:rPr>
        <w:t>Code de procédure civile</w:t>
      </w:r>
      <w:r w:rsidR="000916C5" w:rsidRPr="006A4896">
        <w:rPr>
          <w:iCs/>
          <w:lang w:val="fr-CA"/>
        </w:rPr>
        <w:t>, RLRQ, c. </w:t>
      </w:r>
      <w:r w:rsidRPr="006A4896">
        <w:rPr>
          <w:iCs/>
          <w:lang w:val="fr-CA"/>
        </w:rPr>
        <w:t>C</w:t>
      </w:r>
      <w:r w:rsidR="000916C5" w:rsidRPr="006A4896">
        <w:rPr>
          <w:iCs/>
          <w:lang w:val="fr-CA"/>
        </w:rPr>
        <w:noBreakHyphen/>
      </w:r>
      <w:r w:rsidRPr="006A4896">
        <w:rPr>
          <w:iCs/>
          <w:lang w:val="fr-CA"/>
        </w:rPr>
        <w:t xml:space="preserve">25.01, </w:t>
      </w:r>
      <w:r w:rsidR="00A55AB3">
        <w:rPr>
          <w:iCs/>
          <w:lang w:val="fr-CA"/>
        </w:rPr>
        <w:t>art. </w:t>
      </w:r>
      <w:r w:rsidR="005E59DF" w:rsidRPr="006A4896">
        <w:rPr>
          <w:iCs/>
          <w:lang w:val="fr-CA"/>
        </w:rPr>
        <w:t xml:space="preserve">25, </w:t>
      </w:r>
      <w:r w:rsidR="00473AF1" w:rsidRPr="006A4896">
        <w:rPr>
          <w:iCs/>
          <w:lang w:val="fr-CA"/>
        </w:rPr>
        <w:t>T</w:t>
      </w:r>
      <w:r w:rsidR="007833EA" w:rsidRPr="006A4896">
        <w:rPr>
          <w:iCs/>
          <w:lang w:val="fr-CA"/>
        </w:rPr>
        <w:t>itre III, chapitre</w:t>
      </w:r>
      <w:r w:rsidR="005E59DF" w:rsidRPr="006A4896">
        <w:rPr>
          <w:iCs/>
          <w:lang w:val="fr-CA"/>
        </w:rPr>
        <w:t xml:space="preserve"> I,</w:t>
      </w:r>
      <w:r w:rsidR="007833EA" w:rsidRPr="006A4896">
        <w:rPr>
          <w:iCs/>
          <w:lang w:val="fr-CA"/>
        </w:rPr>
        <w:t xml:space="preserve"> 33, </w:t>
      </w:r>
      <w:r w:rsidR="000D7722" w:rsidRPr="006A4896">
        <w:rPr>
          <w:iCs/>
          <w:lang w:val="fr-CA"/>
        </w:rPr>
        <w:t xml:space="preserve">41 al. 1, 42(3), </w:t>
      </w:r>
      <w:r w:rsidR="007833EA" w:rsidRPr="006A4896">
        <w:rPr>
          <w:iCs/>
          <w:lang w:val="fr-CA"/>
        </w:rPr>
        <w:t>49</w:t>
      </w:r>
      <w:r w:rsidRPr="006A4896">
        <w:rPr>
          <w:iCs/>
          <w:lang w:val="fr-CA"/>
        </w:rPr>
        <w:t>.</w:t>
      </w:r>
    </w:p>
    <w:p w:rsidR="002C13E8" w:rsidRPr="005D7E55" w:rsidRDefault="002C13E8" w:rsidP="002C13E8">
      <w:pPr>
        <w:pStyle w:val="SCCNormalDoubleSpacing"/>
        <w:spacing w:after="240" w:line="240" w:lineRule="auto"/>
        <w:ind w:left="540" w:hanging="540"/>
        <w:rPr>
          <w:i/>
          <w:iCs/>
        </w:rPr>
      </w:pPr>
      <w:r w:rsidRPr="005D7E55">
        <w:rPr>
          <w:i/>
        </w:rPr>
        <w:t>Common Law Procedure Act</w:t>
      </w:r>
      <w:r w:rsidRPr="005D7E55">
        <w:rPr>
          <w:i/>
          <w:iCs/>
        </w:rPr>
        <w:t xml:space="preserve">, 1852 </w:t>
      </w:r>
      <w:r w:rsidR="00A55AB3">
        <w:rPr>
          <w:iCs/>
        </w:rPr>
        <w:t>(R.</w:t>
      </w:r>
      <w:r w:rsidR="00A55AB3">
        <w:rPr>
          <w:iCs/>
        </w:rPr>
        <w:noBreakHyphen/>
      </w:r>
      <w:r w:rsidRPr="005D7E55">
        <w:rPr>
          <w:iCs/>
        </w:rPr>
        <w:t xml:space="preserve">U.), 15 &amp; 16 </w:t>
      </w:r>
      <w:proofErr w:type="gramStart"/>
      <w:r w:rsidRPr="005D7E55">
        <w:rPr>
          <w:iCs/>
        </w:rPr>
        <w:t>Vict.,</w:t>
      </w:r>
      <w:proofErr w:type="gramEnd"/>
      <w:r w:rsidRPr="005D7E55">
        <w:rPr>
          <w:iCs/>
        </w:rPr>
        <w:t xml:space="preserve"> c. 76.</w:t>
      </w:r>
    </w:p>
    <w:p w:rsidR="00A31468" w:rsidRPr="00393C6D" w:rsidRDefault="00FE5788" w:rsidP="002C13E8">
      <w:pPr>
        <w:pStyle w:val="SCCNormalDoubleSpacing"/>
        <w:spacing w:after="240" w:line="240" w:lineRule="auto"/>
        <w:ind w:left="540" w:hanging="540"/>
        <w:rPr>
          <w:lang w:val="fr-CA"/>
        </w:rPr>
      </w:pPr>
      <w:r w:rsidRPr="00393C6D">
        <w:rPr>
          <w:i/>
          <w:iCs/>
          <w:color w:val="000000"/>
          <w:lang w:val="fr-CA"/>
        </w:rPr>
        <w:t xml:space="preserve">Décret en conseil sur </w:t>
      </w:r>
      <w:r w:rsidR="00A31468" w:rsidRPr="00393C6D">
        <w:rPr>
          <w:i/>
          <w:iCs/>
          <w:lang w:val="fr-CA"/>
        </w:rPr>
        <w:t>la terre de Rupert et le territoire du Nord</w:t>
      </w:r>
      <w:r w:rsidR="00A31468" w:rsidRPr="00393C6D">
        <w:rPr>
          <w:i/>
          <w:iCs/>
          <w:lang w:val="fr-CA"/>
        </w:rPr>
        <w:noBreakHyphen/>
        <w:t>Ouest</w:t>
      </w:r>
      <w:r w:rsidR="00EC050E" w:rsidRPr="00393C6D">
        <w:rPr>
          <w:i/>
          <w:lang w:val="fr-CA"/>
        </w:rPr>
        <w:t xml:space="preserve"> </w:t>
      </w:r>
      <w:r w:rsidR="00A31468" w:rsidRPr="00393C6D">
        <w:rPr>
          <w:lang w:val="fr-CA"/>
        </w:rPr>
        <w:t>dans L.R.C. 1985, app. II, n</w:t>
      </w:r>
      <w:r w:rsidR="00A31468" w:rsidRPr="00393C6D">
        <w:rPr>
          <w:vertAlign w:val="superscript"/>
          <w:lang w:val="fr-CA"/>
        </w:rPr>
        <w:t>o</w:t>
      </w:r>
      <w:r w:rsidR="00EC050E" w:rsidRPr="00393C6D">
        <w:rPr>
          <w:lang w:val="fr-CA"/>
        </w:rPr>
        <w:t> 9</w:t>
      </w:r>
      <w:r w:rsidR="00A31468" w:rsidRPr="00393C6D">
        <w:rPr>
          <w:lang w:val="fr-CA"/>
        </w:rPr>
        <w:t>.</w:t>
      </w:r>
    </w:p>
    <w:p w:rsidR="00136AE6" w:rsidRPr="00A31468" w:rsidRDefault="00136AE6" w:rsidP="002C13E8">
      <w:pPr>
        <w:pStyle w:val="SCCNormalDoubleSpacing"/>
        <w:spacing w:after="240" w:line="240" w:lineRule="auto"/>
        <w:ind w:left="540" w:hanging="540"/>
        <w:rPr>
          <w:i/>
          <w:lang w:val="fr-CA"/>
        </w:rPr>
      </w:pPr>
      <w:r w:rsidRPr="00393C6D">
        <w:rPr>
          <w:i/>
          <w:iCs/>
          <w:lang w:val="fr-CA"/>
        </w:rPr>
        <w:t>Décret en conseil sur les territoires adjacents</w:t>
      </w:r>
      <w:r w:rsidR="00E17CC1" w:rsidRPr="00393C6D">
        <w:rPr>
          <w:i/>
          <w:lang w:val="fr-CA"/>
        </w:rPr>
        <w:t xml:space="preserve"> </w:t>
      </w:r>
      <w:r w:rsidRPr="00393C6D">
        <w:rPr>
          <w:lang w:val="fr-CA"/>
        </w:rPr>
        <w:t>dans L.R.C. 1985, app. II, n</w:t>
      </w:r>
      <w:r w:rsidRPr="00393C6D">
        <w:rPr>
          <w:vertAlign w:val="superscript"/>
          <w:lang w:val="fr-CA"/>
        </w:rPr>
        <w:t>o</w:t>
      </w:r>
      <w:r w:rsidR="00E17CC1" w:rsidRPr="00393C6D">
        <w:rPr>
          <w:lang w:val="fr-CA"/>
        </w:rPr>
        <w:t> 14</w:t>
      </w:r>
      <w:r w:rsidRPr="00393C6D">
        <w:rPr>
          <w:lang w:val="fr-CA"/>
        </w:rPr>
        <w:t>.</w:t>
      </w:r>
    </w:p>
    <w:p w:rsidR="00F00C87" w:rsidRPr="009B3318" w:rsidRDefault="00F00C87" w:rsidP="00B820BA">
      <w:pPr>
        <w:pStyle w:val="SCCNormalDoubleSpacing"/>
        <w:spacing w:after="240" w:line="240" w:lineRule="auto"/>
        <w:ind w:left="540" w:hanging="540"/>
        <w:rPr>
          <w:lang w:val="fr-CA"/>
        </w:rPr>
      </w:pPr>
      <w:r w:rsidRPr="008433FD">
        <w:rPr>
          <w:i/>
          <w:lang w:val="fr-CA"/>
        </w:rPr>
        <w:t>Loi constitutionnelle de</w:t>
      </w:r>
      <w:r>
        <w:rPr>
          <w:i/>
          <w:lang w:val="fr-CA"/>
        </w:rPr>
        <w:t xml:space="preserve"> 1867</w:t>
      </w:r>
      <w:r w:rsidR="00F53F67">
        <w:rPr>
          <w:lang w:val="fr-CA"/>
        </w:rPr>
        <w:t xml:space="preserve">, </w:t>
      </w:r>
      <w:r w:rsidR="000916C5">
        <w:rPr>
          <w:lang w:val="fr-CA"/>
        </w:rPr>
        <w:t>art. </w:t>
      </w:r>
      <w:r w:rsidR="001A59A0">
        <w:rPr>
          <w:lang w:val="fr-CA"/>
        </w:rPr>
        <w:t>92(13),</w:t>
      </w:r>
      <w:r w:rsidR="00767D78">
        <w:rPr>
          <w:lang w:val="fr-CA"/>
        </w:rPr>
        <w:t xml:space="preserve"> (14),</w:t>
      </w:r>
      <w:r w:rsidR="001A59A0">
        <w:rPr>
          <w:lang w:val="fr-CA"/>
        </w:rPr>
        <w:t xml:space="preserve"> </w:t>
      </w:r>
      <w:r w:rsidR="00190C1F">
        <w:rPr>
          <w:lang w:val="fr-CA"/>
        </w:rPr>
        <w:t>96,</w:t>
      </w:r>
      <w:r w:rsidR="007D5F1C">
        <w:rPr>
          <w:lang w:val="fr-CA"/>
        </w:rPr>
        <w:t xml:space="preserve"> 97, 98,</w:t>
      </w:r>
      <w:r w:rsidR="00190C1F">
        <w:rPr>
          <w:lang w:val="fr-CA"/>
        </w:rPr>
        <w:t xml:space="preserve"> 109</w:t>
      </w:r>
      <w:r w:rsidR="00397788">
        <w:rPr>
          <w:lang w:val="fr-CA"/>
        </w:rPr>
        <w:t>.</w:t>
      </w:r>
    </w:p>
    <w:p w:rsidR="008433FD" w:rsidRDefault="008433FD" w:rsidP="000623A1">
      <w:pPr>
        <w:pStyle w:val="SCCNormalDoubleSpacing"/>
        <w:spacing w:after="240" w:line="240" w:lineRule="auto"/>
        <w:ind w:left="540" w:hanging="540"/>
        <w:rPr>
          <w:lang w:val="fr-CA"/>
        </w:rPr>
      </w:pPr>
      <w:r w:rsidRPr="008433FD">
        <w:rPr>
          <w:i/>
          <w:lang w:val="fr-CA"/>
        </w:rPr>
        <w:t>Loi constitutionnelle de 1982</w:t>
      </w:r>
      <w:r w:rsidRPr="00397788">
        <w:rPr>
          <w:lang w:val="fr-CA"/>
        </w:rPr>
        <w:t xml:space="preserve">, </w:t>
      </w:r>
      <w:r w:rsidR="00DD436B" w:rsidRPr="00397788">
        <w:rPr>
          <w:lang w:val="fr-CA"/>
        </w:rPr>
        <w:t>p</w:t>
      </w:r>
      <w:r w:rsidR="009B3318" w:rsidRPr="00397788">
        <w:rPr>
          <w:lang w:val="fr-CA"/>
        </w:rPr>
        <w:t xml:space="preserve">artie II, </w:t>
      </w:r>
      <w:r w:rsidR="000916C5" w:rsidRPr="00397788">
        <w:rPr>
          <w:lang w:val="fr-CA"/>
        </w:rPr>
        <w:t>art</w:t>
      </w:r>
      <w:r w:rsidR="000916C5">
        <w:rPr>
          <w:lang w:val="fr-CA"/>
        </w:rPr>
        <w:t>. </w:t>
      </w:r>
      <w:r>
        <w:rPr>
          <w:lang w:val="fr-CA"/>
        </w:rPr>
        <w:t>35</w:t>
      </w:r>
      <w:r w:rsidR="003324C4">
        <w:rPr>
          <w:lang w:val="fr-CA"/>
        </w:rPr>
        <w:t>,</w:t>
      </w:r>
      <w:r w:rsidR="003324C4" w:rsidRPr="003324C4">
        <w:rPr>
          <w:rFonts w:eastAsiaTheme="minorHAnsi"/>
          <w:szCs w:val="24"/>
          <w:lang w:val="fr-CA" w:eastAsia="en-US"/>
        </w:rPr>
        <w:t xml:space="preserve"> </w:t>
      </w:r>
      <w:r w:rsidR="003324C4" w:rsidRPr="003324C4">
        <w:rPr>
          <w:lang w:val="fr-CA"/>
        </w:rPr>
        <w:t>41</w:t>
      </w:r>
      <w:r w:rsidR="003324C4" w:rsidRPr="003324C4">
        <w:rPr>
          <w:i/>
          <w:lang w:val="fr-CA"/>
        </w:rPr>
        <w:t>e</w:t>
      </w:r>
      <w:r w:rsidR="003324C4" w:rsidRPr="003324C4">
        <w:rPr>
          <w:lang w:val="fr-CA"/>
        </w:rPr>
        <w:t>), 43</w:t>
      </w:r>
      <w:r w:rsidR="003324C4" w:rsidRPr="003324C4">
        <w:rPr>
          <w:i/>
          <w:lang w:val="fr-CA"/>
        </w:rPr>
        <w:t>a</w:t>
      </w:r>
      <w:r w:rsidR="003324C4" w:rsidRPr="003324C4">
        <w:rPr>
          <w:lang w:val="fr-CA"/>
        </w:rPr>
        <w:t>), 52</w:t>
      </w:r>
      <w:r w:rsidR="00397788">
        <w:rPr>
          <w:lang w:val="fr-CA"/>
        </w:rPr>
        <w:t xml:space="preserve">(1), </w:t>
      </w:r>
      <w:r w:rsidR="003324C4" w:rsidRPr="003324C4">
        <w:rPr>
          <w:lang w:val="fr-CA"/>
        </w:rPr>
        <w:t>(2)</w:t>
      </w:r>
      <w:r w:rsidR="003324C4" w:rsidRPr="003324C4">
        <w:rPr>
          <w:i/>
          <w:lang w:val="fr-CA"/>
        </w:rPr>
        <w:t>b</w:t>
      </w:r>
      <w:r w:rsidR="00A55AB3">
        <w:rPr>
          <w:lang w:val="fr-CA"/>
        </w:rPr>
        <w:t xml:space="preserve">), </w:t>
      </w:r>
      <w:proofErr w:type="gramStart"/>
      <w:r w:rsidR="00A55AB3">
        <w:rPr>
          <w:lang w:val="fr-CA"/>
        </w:rPr>
        <w:t>ann.,</w:t>
      </w:r>
      <w:proofErr w:type="gramEnd"/>
      <w:r w:rsidR="00A55AB3">
        <w:rPr>
          <w:lang w:val="fr-CA"/>
        </w:rPr>
        <w:t xml:space="preserve"> art. </w:t>
      </w:r>
      <w:r w:rsidR="00397788">
        <w:rPr>
          <w:lang w:val="fr-CA"/>
        </w:rPr>
        <w:t xml:space="preserve">12, 13, </w:t>
      </w:r>
      <w:r w:rsidR="003324C4" w:rsidRPr="003324C4">
        <w:rPr>
          <w:lang w:val="fr-CA"/>
        </w:rPr>
        <w:t>21</w:t>
      </w:r>
      <w:r w:rsidR="00397788">
        <w:rPr>
          <w:lang w:val="fr-CA"/>
        </w:rPr>
        <w:t>.</w:t>
      </w:r>
    </w:p>
    <w:p w:rsidR="007B64F7" w:rsidRPr="007F00F5" w:rsidRDefault="007B64F7" w:rsidP="007B64F7">
      <w:pPr>
        <w:pStyle w:val="SCCNormalDoubleSpacing"/>
        <w:spacing w:after="240" w:line="240" w:lineRule="auto"/>
        <w:ind w:left="540" w:hanging="540"/>
        <w:rPr>
          <w:i/>
          <w:lang w:val="fr-CA"/>
        </w:rPr>
      </w:pPr>
      <w:r w:rsidRPr="007F00F5">
        <w:rPr>
          <w:i/>
          <w:lang w:val="fr-CA"/>
        </w:rPr>
        <w:t>Loi de l</w:t>
      </w:r>
      <w:r w:rsidR="009F72D8">
        <w:rPr>
          <w:i/>
          <w:lang w:val="fr-CA"/>
        </w:rPr>
        <w:t>’</w:t>
      </w:r>
      <w:r w:rsidRPr="007F00F5">
        <w:rPr>
          <w:i/>
          <w:lang w:val="fr-CA"/>
        </w:rPr>
        <w:t>extension des frontières de l</w:t>
      </w:r>
      <w:r w:rsidR="009F72D8">
        <w:rPr>
          <w:i/>
          <w:lang w:val="fr-CA"/>
        </w:rPr>
        <w:t>’</w:t>
      </w:r>
      <w:r w:rsidRPr="007F00F5">
        <w:rPr>
          <w:i/>
          <w:lang w:val="fr-CA"/>
        </w:rPr>
        <w:t>Ontario</w:t>
      </w:r>
      <w:r w:rsidR="00A55AB3">
        <w:rPr>
          <w:lang w:val="fr-CA"/>
        </w:rPr>
        <w:t xml:space="preserve">, </w:t>
      </w:r>
      <w:r w:rsidR="009444DB">
        <w:rPr>
          <w:lang w:val="fr-CA"/>
        </w:rPr>
        <w:t xml:space="preserve">S.C. </w:t>
      </w:r>
      <w:r w:rsidR="00A55AB3">
        <w:rPr>
          <w:lang w:val="fr-CA"/>
        </w:rPr>
        <w:t>1912, c. </w:t>
      </w:r>
      <w:r w:rsidRPr="007F00F5">
        <w:rPr>
          <w:lang w:val="fr-CA"/>
        </w:rPr>
        <w:t>40.</w:t>
      </w:r>
    </w:p>
    <w:p w:rsidR="002D0A73" w:rsidRDefault="002D0A73" w:rsidP="002D0A73">
      <w:pPr>
        <w:pStyle w:val="SCCNormalDoubleSpacing"/>
        <w:spacing w:after="240" w:line="240" w:lineRule="auto"/>
        <w:ind w:left="540" w:hanging="540"/>
        <w:rPr>
          <w:lang w:val="fr-CA"/>
        </w:rPr>
      </w:pPr>
      <w:r w:rsidRPr="007F00F5">
        <w:rPr>
          <w:i/>
          <w:lang w:val="fr-CA"/>
        </w:rPr>
        <w:t>Loi de l</w:t>
      </w:r>
      <w:r w:rsidR="009F72D8">
        <w:rPr>
          <w:i/>
          <w:lang w:val="fr-CA"/>
        </w:rPr>
        <w:t>’</w:t>
      </w:r>
      <w:r w:rsidRPr="007F00F5">
        <w:rPr>
          <w:i/>
          <w:lang w:val="fr-CA"/>
        </w:rPr>
        <w:t>extension des frontières de Québec, 1912</w:t>
      </w:r>
      <w:r w:rsidR="00A55AB3">
        <w:rPr>
          <w:lang w:val="fr-CA"/>
        </w:rPr>
        <w:t xml:space="preserve">, </w:t>
      </w:r>
      <w:r w:rsidR="009444DB">
        <w:rPr>
          <w:lang w:val="fr-CA"/>
        </w:rPr>
        <w:t xml:space="preserve">S.C. 1912, </w:t>
      </w:r>
      <w:r w:rsidR="00A55AB3">
        <w:rPr>
          <w:lang w:val="fr-CA"/>
        </w:rPr>
        <w:t>c. </w:t>
      </w:r>
      <w:r w:rsidRPr="007F00F5">
        <w:rPr>
          <w:lang w:val="fr-CA"/>
        </w:rPr>
        <w:t>45.</w:t>
      </w:r>
    </w:p>
    <w:p w:rsidR="00397788" w:rsidRPr="00397788" w:rsidRDefault="00397788" w:rsidP="00397788">
      <w:pPr>
        <w:pStyle w:val="SCCNormalDoubleSpacing"/>
        <w:spacing w:after="240" w:line="240" w:lineRule="auto"/>
        <w:ind w:left="540" w:hanging="540"/>
        <w:rPr>
          <w:i/>
          <w:lang w:val="fr-CA"/>
        </w:rPr>
      </w:pPr>
      <w:r w:rsidRPr="007F00F5">
        <w:rPr>
          <w:i/>
          <w:lang w:val="fr-CA"/>
        </w:rPr>
        <w:t>Loi de l</w:t>
      </w:r>
      <w:r>
        <w:rPr>
          <w:i/>
          <w:lang w:val="fr-CA"/>
        </w:rPr>
        <w:t>’</w:t>
      </w:r>
      <w:r w:rsidRPr="007F00F5">
        <w:rPr>
          <w:i/>
          <w:lang w:val="fr-CA"/>
        </w:rPr>
        <w:t>extension des frontières du Manitoba, 1912</w:t>
      </w:r>
      <w:r w:rsidR="009444DB">
        <w:rPr>
          <w:lang w:val="fr-CA"/>
        </w:rPr>
        <w:t>, S.C. 1912, c.</w:t>
      </w:r>
      <w:r w:rsidR="00A55AB3">
        <w:rPr>
          <w:lang w:val="fr-CA"/>
        </w:rPr>
        <w:t> </w:t>
      </w:r>
      <w:r w:rsidRPr="007F00F5">
        <w:rPr>
          <w:lang w:val="fr-CA"/>
        </w:rPr>
        <w:t>32.</w:t>
      </w:r>
    </w:p>
    <w:p w:rsidR="000623A1" w:rsidRDefault="003437B7" w:rsidP="000623A1">
      <w:pPr>
        <w:pStyle w:val="SCCNormalDoubleSpacing"/>
        <w:spacing w:after="240" w:line="240" w:lineRule="auto"/>
        <w:ind w:left="540" w:hanging="540"/>
        <w:rPr>
          <w:lang w:val="fr-CA"/>
        </w:rPr>
      </w:pPr>
      <w:r>
        <w:rPr>
          <w:i/>
          <w:lang w:val="fr-CA"/>
        </w:rPr>
        <w:t>Loi portant réforme au Code civil du Québec du droit de la preuve et de la prescription et du droit international privé</w:t>
      </w:r>
      <w:r w:rsidR="00A55AB3">
        <w:rPr>
          <w:lang w:val="fr-CA"/>
        </w:rPr>
        <w:t>, avant</w:t>
      </w:r>
      <w:r w:rsidR="00A55AB3">
        <w:rPr>
          <w:lang w:val="fr-CA"/>
        </w:rPr>
        <w:noBreakHyphen/>
      </w:r>
      <w:r>
        <w:rPr>
          <w:lang w:val="fr-CA"/>
        </w:rPr>
        <w:t>projet de loi, 2</w:t>
      </w:r>
      <w:r w:rsidRPr="003437B7">
        <w:rPr>
          <w:vertAlign w:val="superscript"/>
          <w:lang w:val="fr-CA"/>
        </w:rPr>
        <w:t>e</w:t>
      </w:r>
      <w:r>
        <w:rPr>
          <w:lang w:val="fr-CA"/>
        </w:rPr>
        <w:t xml:space="preserve"> sess., 33</w:t>
      </w:r>
      <w:r w:rsidRPr="003437B7">
        <w:rPr>
          <w:vertAlign w:val="superscript"/>
          <w:lang w:val="fr-CA"/>
        </w:rPr>
        <w:t>e</w:t>
      </w:r>
      <w:r>
        <w:rPr>
          <w:lang w:val="fr-CA"/>
        </w:rPr>
        <w:t xml:space="preserve"> lég., Québec,</w:t>
      </w:r>
      <w:r w:rsidRPr="003437B7">
        <w:rPr>
          <w:lang w:val="fr-CA"/>
        </w:rPr>
        <w:t xml:space="preserve"> </w:t>
      </w:r>
      <w:r>
        <w:rPr>
          <w:lang w:val="fr-CA"/>
        </w:rPr>
        <w:t xml:space="preserve">1988, </w:t>
      </w:r>
      <w:r w:rsidR="00A55AB3">
        <w:rPr>
          <w:lang w:val="fr-CA"/>
        </w:rPr>
        <w:t>art. </w:t>
      </w:r>
      <w:r w:rsidRPr="000623A1">
        <w:rPr>
          <w:lang w:val="fr-CA"/>
        </w:rPr>
        <w:t>3154.</w:t>
      </w:r>
    </w:p>
    <w:p w:rsidR="005F5DAE" w:rsidRDefault="005F5DAE" w:rsidP="000623A1">
      <w:pPr>
        <w:pStyle w:val="SCCNormalDoubleSpacing"/>
        <w:spacing w:after="240" w:line="240" w:lineRule="auto"/>
        <w:ind w:left="540" w:hanging="540"/>
        <w:rPr>
          <w:lang w:val="fr-CA"/>
        </w:rPr>
      </w:pPr>
      <w:r w:rsidRPr="005F5DAE">
        <w:rPr>
          <w:i/>
          <w:lang w:val="fr-CA"/>
        </w:rPr>
        <w:t>Loi sur l’Alberta</w:t>
      </w:r>
      <w:r w:rsidRPr="005F5DAE">
        <w:rPr>
          <w:lang w:val="fr-CA"/>
        </w:rPr>
        <w:t xml:space="preserve">, S.C. </w:t>
      </w:r>
      <w:r>
        <w:rPr>
          <w:lang w:val="fr-CA"/>
        </w:rPr>
        <w:t>1905, c. 3 (reproduite dans L.R.C. 1985, app. II, n</w:t>
      </w:r>
      <w:r w:rsidRPr="005F5DAE">
        <w:rPr>
          <w:vertAlign w:val="superscript"/>
          <w:lang w:val="fr-CA"/>
        </w:rPr>
        <w:t>o</w:t>
      </w:r>
      <w:r>
        <w:rPr>
          <w:lang w:val="fr-CA"/>
        </w:rPr>
        <w:t xml:space="preserve"> 20).</w:t>
      </w:r>
    </w:p>
    <w:p w:rsidR="005F5DAE" w:rsidRPr="003F24BA" w:rsidRDefault="005F5DAE" w:rsidP="000623A1">
      <w:pPr>
        <w:pStyle w:val="SCCNormalDoubleSpacing"/>
        <w:spacing w:after="240" w:line="240" w:lineRule="auto"/>
        <w:ind w:left="540" w:hanging="540"/>
        <w:rPr>
          <w:lang w:val="en-US"/>
        </w:rPr>
      </w:pPr>
      <w:r>
        <w:rPr>
          <w:i/>
          <w:lang w:val="fr-CA"/>
        </w:rPr>
        <w:t>Loi sur la Saskatchewan</w:t>
      </w:r>
      <w:r w:rsidRPr="005F5DAE">
        <w:rPr>
          <w:lang w:val="fr-CA"/>
        </w:rPr>
        <w:t>, S.C.</w:t>
      </w:r>
      <w:r>
        <w:rPr>
          <w:lang w:val="fr-CA"/>
        </w:rPr>
        <w:t xml:space="preserve"> 1905, c. 42 (reproduite dans L.R.C. 1985, app. </w:t>
      </w:r>
      <w:r w:rsidRPr="003F24BA">
        <w:rPr>
          <w:lang w:val="en-US"/>
        </w:rPr>
        <w:t>II, n</w:t>
      </w:r>
      <w:r w:rsidRPr="003F24BA">
        <w:rPr>
          <w:vertAlign w:val="superscript"/>
          <w:lang w:val="en-US"/>
        </w:rPr>
        <w:t>o</w:t>
      </w:r>
      <w:r w:rsidRPr="003F24BA">
        <w:rPr>
          <w:lang w:val="en-US"/>
        </w:rPr>
        <w:t xml:space="preserve"> 21). </w:t>
      </w:r>
    </w:p>
    <w:p w:rsidR="00B1425F" w:rsidRPr="007B64F7" w:rsidRDefault="00B1425F" w:rsidP="00A55AB3">
      <w:pPr>
        <w:pStyle w:val="SCCNormalDoubleSpacing"/>
        <w:spacing w:after="720" w:line="240" w:lineRule="auto"/>
        <w:ind w:left="547" w:hanging="547"/>
        <w:rPr>
          <w:i/>
          <w:lang w:val="en-US"/>
        </w:rPr>
      </w:pPr>
      <w:r w:rsidRPr="007B64F7">
        <w:rPr>
          <w:i/>
          <w:lang w:val="en-US"/>
        </w:rPr>
        <w:t xml:space="preserve">Proceedings </w:t>
      </w:r>
      <w:proofErr w:type="gramStart"/>
      <w:r w:rsidRPr="007B64F7">
        <w:rPr>
          <w:i/>
          <w:lang w:val="en-US"/>
        </w:rPr>
        <w:t>Against</w:t>
      </w:r>
      <w:proofErr w:type="gramEnd"/>
      <w:r w:rsidRPr="007B64F7">
        <w:rPr>
          <w:i/>
          <w:lang w:val="en-US"/>
        </w:rPr>
        <w:t xml:space="preserve"> the Crown Act</w:t>
      </w:r>
      <w:r w:rsidR="00C70E7E">
        <w:rPr>
          <w:lang w:val="en-US"/>
        </w:rPr>
        <w:t>, R.S.N.L. 1990, c. </w:t>
      </w:r>
      <w:r w:rsidR="00A55AB3">
        <w:rPr>
          <w:lang w:val="en-US"/>
        </w:rPr>
        <w:t>P</w:t>
      </w:r>
      <w:r w:rsidR="00A55AB3">
        <w:rPr>
          <w:lang w:val="en-US"/>
        </w:rPr>
        <w:noBreakHyphen/>
        <w:t>6, art. </w:t>
      </w:r>
      <w:r w:rsidRPr="007B64F7">
        <w:rPr>
          <w:lang w:val="en-US"/>
        </w:rPr>
        <w:t>4, 7.</w:t>
      </w:r>
    </w:p>
    <w:p w:rsidR="0061412E" w:rsidRPr="00F01290" w:rsidRDefault="0061412E" w:rsidP="00A55AB3">
      <w:pPr>
        <w:pStyle w:val="sccnormaldoublespacing0"/>
        <w:spacing w:before="0" w:beforeAutospacing="0" w:after="720" w:afterAutospacing="0"/>
        <w:jc w:val="both"/>
        <w:rPr>
          <w:b/>
          <w:szCs w:val="20"/>
          <w:lang w:val="fr-CA" w:eastAsia="en-CA"/>
        </w:rPr>
      </w:pPr>
      <w:r w:rsidRPr="00F01290">
        <w:rPr>
          <w:b/>
          <w:szCs w:val="20"/>
          <w:lang w:val="fr-CA" w:eastAsia="en-CA"/>
        </w:rPr>
        <w:t>Traités et autres instruments internationaux</w:t>
      </w:r>
    </w:p>
    <w:p w:rsidR="0061412E" w:rsidRPr="0061412E" w:rsidRDefault="0061412E" w:rsidP="00B820BA">
      <w:pPr>
        <w:pStyle w:val="SCCNormalDoubleSpacing"/>
        <w:spacing w:after="720" w:line="240" w:lineRule="auto"/>
        <w:ind w:left="540" w:hanging="540"/>
        <w:rPr>
          <w:lang w:val="fr-CA"/>
        </w:rPr>
      </w:pPr>
      <w:r w:rsidRPr="00F3640D">
        <w:rPr>
          <w:i/>
          <w:lang w:val="fr-CA"/>
        </w:rPr>
        <w:t xml:space="preserve">Déclaration des Nations Unies sur les </w:t>
      </w:r>
      <w:r w:rsidRPr="0097472A">
        <w:rPr>
          <w:i/>
          <w:lang w:val="fr-CA"/>
        </w:rPr>
        <w:t>droits des peuples autochtones</w:t>
      </w:r>
      <w:r w:rsidR="00F3640D" w:rsidRPr="0097472A">
        <w:rPr>
          <w:lang w:val="fr-CA"/>
        </w:rPr>
        <w:t>, A.G. Rés., Doc</w:t>
      </w:r>
      <w:r w:rsidRPr="0097472A">
        <w:rPr>
          <w:lang w:val="fr-CA"/>
        </w:rPr>
        <w:t xml:space="preserve"> </w:t>
      </w:r>
      <w:r w:rsidR="00F3640D" w:rsidRPr="0097472A">
        <w:rPr>
          <w:lang w:val="fr-CA"/>
        </w:rPr>
        <w:t>off AG</w:t>
      </w:r>
      <w:r w:rsidR="0097472A" w:rsidRPr="0097472A">
        <w:rPr>
          <w:lang w:val="fr-CA"/>
        </w:rPr>
        <w:t xml:space="preserve"> </w:t>
      </w:r>
      <w:r w:rsidR="00F3640D" w:rsidRPr="0097472A">
        <w:rPr>
          <w:lang w:val="fr-CA"/>
        </w:rPr>
        <w:t>NU, 61</w:t>
      </w:r>
      <w:r w:rsidR="00F3640D" w:rsidRPr="0097472A">
        <w:rPr>
          <w:vertAlign w:val="superscript"/>
          <w:lang w:val="fr-CA"/>
        </w:rPr>
        <w:t>e</w:t>
      </w:r>
      <w:r w:rsidR="00F3640D" w:rsidRPr="0097472A">
        <w:rPr>
          <w:lang w:val="fr-CA"/>
        </w:rPr>
        <w:t xml:space="preserve"> sess</w:t>
      </w:r>
      <w:r w:rsidR="00356576">
        <w:rPr>
          <w:lang w:val="fr-CA"/>
        </w:rPr>
        <w:t>.</w:t>
      </w:r>
      <w:r w:rsidR="00F3640D" w:rsidRPr="0097472A">
        <w:rPr>
          <w:lang w:val="fr-CA"/>
        </w:rPr>
        <w:t xml:space="preserve">, </w:t>
      </w:r>
      <w:r w:rsidR="0097472A" w:rsidRPr="0097472A">
        <w:rPr>
          <w:lang w:val="fr-CA"/>
        </w:rPr>
        <w:t>supp</w:t>
      </w:r>
      <w:r w:rsidR="00C04D6C">
        <w:rPr>
          <w:lang w:val="fr-CA"/>
        </w:rPr>
        <w:t>l</w:t>
      </w:r>
      <w:r w:rsidR="00356576">
        <w:rPr>
          <w:lang w:val="fr-CA"/>
        </w:rPr>
        <w:t>.</w:t>
      </w:r>
      <w:r w:rsidR="00491FB6" w:rsidRPr="0097472A">
        <w:rPr>
          <w:lang w:val="fr-CA"/>
        </w:rPr>
        <w:t xml:space="preserve"> n</w:t>
      </w:r>
      <w:r w:rsidR="00491FB6" w:rsidRPr="0097472A">
        <w:rPr>
          <w:vertAlign w:val="superscript"/>
          <w:lang w:val="fr-CA"/>
        </w:rPr>
        <w:t>o</w:t>
      </w:r>
      <w:r w:rsidR="00491FB6" w:rsidRPr="0097472A">
        <w:rPr>
          <w:lang w:val="fr-CA"/>
        </w:rPr>
        <w:t xml:space="preserve"> 49, </w:t>
      </w:r>
      <w:r w:rsidR="00405C22" w:rsidRPr="0097472A">
        <w:rPr>
          <w:lang w:val="fr-CA"/>
        </w:rPr>
        <w:t xml:space="preserve">Doc NU </w:t>
      </w:r>
      <w:r w:rsidR="00491FB6" w:rsidRPr="0097472A">
        <w:rPr>
          <w:lang w:val="fr-CA"/>
        </w:rPr>
        <w:t>A/RES/61/295</w:t>
      </w:r>
      <w:r w:rsidR="00405C22" w:rsidRPr="0097472A">
        <w:rPr>
          <w:lang w:val="fr-CA"/>
        </w:rPr>
        <w:t xml:space="preserve"> (2007).</w:t>
      </w:r>
    </w:p>
    <w:p w:rsidR="004D7D95" w:rsidRPr="00C920E1" w:rsidRDefault="004D7D95" w:rsidP="00A55AB3">
      <w:pPr>
        <w:pStyle w:val="SCCNormalDoubleSpacing"/>
        <w:spacing w:after="720" w:line="240" w:lineRule="auto"/>
        <w:rPr>
          <w:b/>
          <w:lang w:val="fr-CA"/>
        </w:rPr>
      </w:pPr>
      <w:r w:rsidRPr="00C920E1">
        <w:rPr>
          <w:b/>
          <w:lang w:val="fr-CA"/>
        </w:rPr>
        <w:lastRenderedPageBreak/>
        <w:t>Doctrine et autres documents cités</w:t>
      </w:r>
    </w:p>
    <w:p w:rsidR="00F53F67" w:rsidRDefault="00F53F67" w:rsidP="00B820BA">
      <w:pPr>
        <w:pStyle w:val="SCCNormalDoubleSpacing"/>
        <w:spacing w:after="240" w:line="240" w:lineRule="auto"/>
        <w:ind w:left="540" w:hanging="540"/>
        <w:rPr>
          <w:lang w:val="fr-CA"/>
        </w:rPr>
      </w:pPr>
      <w:r w:rsidRPr="00F53F67">
        <w:rPr>
          <w:lang w:val="fr-CA"/>
        </w:rPr>
        <w:t xml:space="preserve">Anker, Kirsten. « Translating </w:t>
      </w:r>
      <w:r w:rsidRPr="00F53F67">
        <w:rPr>
          <w:i/>
          <w:lang w:val="fr-CA"/>
        </w:rPr>
        <w:t>Sui Generis</w:t>
      </w:r>
      <w:r w:rsidRPr="00F53F67">
        <w:rPr>
          <w:lang w:val="fr-CA"/>
        </w:rPr>
        <w:t xml:space="preserve"> Aboriginal Rights in the Civilian Imagination », dans Alexandra Popovici, Lionel Smith et Régine Tremblay, </w:t>
      </w:r>
      <w:proofErr w:type="gramStart"/>
      <w:r w:rsidRPr="00F53F67">
        <w:rPr>
          <w:lang w:val="fr-CA"/>
        </w:rPr>
        <w:t>dir.,</w:t>
      </w:r>
      <w:proofErr w:type="gramEnd"/>
      <w:r w:rsidRPr="00F53F67">
        <w:rPr>
          <w:lang w:val="fr-CA"/>
        </w:rPr>
        <w:t xml:space="preserve"> </w:t>
      </w:r>
      <w:r w:rsidRPr="00F53F67">
        <w:rPr>
          <w:i/>
          <w:lang w:val="fr-CA"/>
        </w:rPr>
        <w:t>Les intraduisibles en droit civil</w:t>
      </w:r>
      <w:r w:rsidRPr="00F53F67">
        <w:rPr>
          <w:lang w:val="fr-CA"/>
        </w:rPr>
        <w:t>, Montréal, Thémis, 2014, 1.</w:t>
      </w:r>
    </w:p>
    <w:p w:rsidR="00E843F5" w:rsidRDefault="00E843F5" w:rsidP="00E843F5">
      <w:pPr>
        <w:pStyle w:val="SCCNormalDoubleSpacing"/>
        <w:spacing w:after="240" w:line="240" w:lineRule="auto"/>
        <w:ind w:left="540" w:hanging="540"/>
        <w:rPr>
          <w:color w:val="000000"/>
          <w:lang w:val="fr-CA"/>
        </w:rPr>
      </w:pPr>
      <w:r>
        <w:rPr>
          <w:color w:val="000000"/>
          <w:lang w:val="fr-CA"/>
        </w:rPr>
        <w:t xml:space="preserve">Barreau du Québec. </w:t>
      </w:r>
      <w:r w:rsidRPr="00DF7BE7">
        <w:rPr>
          <w:i/>
          <w:color w:val="000000"/>
          <w:lang w:val="fr-CA"/>
        </w:rPr>
        <w:t>Mémoire du Barreau du Québec sur l</w:t>
      </w:r>
      <w:r w:rsidR="009F72D8">
        <w:rPr>
          <w:i/>
          <w:color w:val="000000"/>
          <w:lang w:val="fr-CA"/>
        </w:rPr>
        <w:t>’</w:t>
      </w:r>
      <w:r w:rsidRPr="00DF7BE7">
        <w:rPr>
          <w:i/>
          <w:color w:val="000000"/>
          <w:lang w:val="fr-CA"/>
        </w:rPr>
        <w:t>avant-projet de loi portant réforme au Code civil du Québec du droit international privé</w:t>
      </w:r>
      <w:r>
        <w:rPr>
          <w:color w:val="000000"/>
          <w:lang w:val="fr-CA"/>
        </w:rPr>
        <w:t>, présenté à la Commission des institutions, Montréal, Barreau du Québec, 1989.</w:t>
      </w:r>
    </w:p>
    <w:p w:rsidR="00397788" w:rsidRDefault="00397788" w:rsidP="00397788">
      <w:pPr>
        <w:pStyle w:val="SCCNormalDoubleSpacing"/>
        <w:spacing w:after="240" w:line="240" w:lineRule="auto"/>
        <w:ind w:left="540" w:hanging="540"/>
        <w:rPr>
          <w:color w:val="000000"/>
          <w:lang w:val="fr-CA"/>
        </w:rPr>
      </w:pPr>
      <w:r>
        <w:rPr>
          <w:color w:val="000000"/>
          <w:lang w:val="fr-CA"/>
        </w:rPr>
        <w:t xml:space="preserve">Batiffol, Henri, et Paul Lagarde. </w:t>
      </w:r>
      <w:r>
        <w:rPr>
          <w:i/>
          <w:color w:val="000000"/>
          <w:lang w:val="fr-CA"/>
        </w:rPr>
        <w:t>Droit international privé</w:t>
      </w:r>
      <w:r w:rsidR="00627B5E">
        <w:rPr>
          <w:color w:val="000000"/>
          <w:lang w:val="fr-CA"/>
        </w:rPr>
        <w:t>, t. </w:t>
      </w:r>
      <w:r w:rsidRPr="002F4D18">
        <w:rPr>
          <w:color w:val="000000"/>
          <w:lang w:val="fr-CA"/>
        </w:rPr>
        <w:t>I</w:t>
      </w:r>
      <w:r>
        <w:rPr>
          <w:color w:val="000000"/>
          <w:lang w:val="fr-CA"/>
        </w:rPr>
        <w:t>, 7</w:t>
      </w:r>
      <w:r w:rsidRPr="002F4D18">
        <w:rPr>
          <w:color w:val="000000"/>
          <w:vertAlign w:val="superscript"/>
          <w:lang w:val="fr-CA"/>
        </w:rPr>
        <w:t>e</w:t>
      </w:r>
      <w:r>
        <w:rPr>
          <w:color w:val="000000"/>
          <w:lang w:val="fr-CA"/>
        </w:rPr>
        <w:t xml:space="preserve"> éd., Paris, Librairie générale de droit et de jurisprudence, 1981.</w:t>
      </w:r>
    </w:p>
    <w:p w:rsidR="008C0BA6" w:rsidRPr="008C0BA6" w:rsidRDefault="008C0BA6" w:rsidP="00E843F5">
      <w:pPr>
        <w:pStyle w:val="SCCNormalDoubleSpacing"/>
        <w:spacing w:after="240" w:line="240" w:lineRule="auto"/>
        <w:ind w:left="540" w:hanging="540"/>
        <w:rPr>
          <w:color w:val="000000"/>
          <w:lang w:val="fr-CA"/>
        </w:rPr>
      </w:pPr>
      <w:r>
        <w:rPr>
          <w:color w:val="000000"/>
          <w:lang w:val="fr-CA"/>
        </w:rPr>
        <w:t xml:space="preserve">Belleau, Charles, et autres. </w:t>
      </w:r>
      <w:r>
        <w:rPr>
          <w:i/>
          <w:color w:val="000000"/>
          <w:lang w:val="fr-CA"/>
        </w:rPr>
        <w:t>Précis de procédure civile du Québec</w:t>
      </w:r>
      <w:r w:rsidR="00627B5E">
        <w:rPr>
          <w:color w:val="000000"/>
          <w:lang w:val="fr-CA"/>
        </w:rPr>
        <w:t>, vol. </w:t>
      </w:r>
      <w:r>
        <w:rPr>
          <w:color w:val="000000"/>
          <w:lang w:val="fr-CA"/>
        </w:rPr>
        <w:t>2, 4</w:t>
      </w:r>
      <w:r w:rsidRPr="008C0BA6">
        <w:rPr>
          <w:color w:val="000000"/>
          <w:vertAlign w:val="superscript"/>
          <w:lang w:val="fr-CA"/>
        </w:rPr>
        <w:t>e</w:t>
      </w:r>
      <w:r>
        <w:rPr>
          <w:color w:val="000000"/>
          <w:lang w:val="fr-CA"/>
        </w:rPr>
        <w:t xml:space="preserve"> éd. </w:t>
      </w:r>
      <w:r w:rsidR="007C6064">
        <w:rPr>
          <w:color w:val="000000"/>
          <w:lang w:val="fr-CA"/>
        </w:rPr>
        <w:t>p</w:t>
      </w:r>
      <w:r>
        <w:rPr>
          <w:color w:val="000000"/>
          <w:lang w:val="fr-CA"/>
        </w:rPr>
        <w:t>ar Denis Ferland et Benoît Emery,</w:t>
      </w:r>
      <w:r w:rsidR="004342BF">
        <w:rPr>
          <w:color w:val="000000"/>
          <w:lang w:val="fr-CA"/>
        </w:rPr>
        <w:t xml:space="preserve"> </w:t>
      </w:r>
      <w:proofErr w:type="gramStart"/>
      <w:r w:rsidR="004342BF">
        <w:rPr>
          <w:color w:val="000000"/>
          <w:lang w:val="fr-CA"/>
        </w:rPr>
        <w:t>dir.,</w:t>
      </w:r>
      <w:proofErr w:type="gramEnd"/>
      <w:r>
        <w:rPr>
          <w:color w:val="000000"/>
          <w:lang w:val="fr-CA"/>
        </w:rPr>
        <w:t xml:space="preserve"> </w:t>
      </w:r>
      <w:r w:rsidRPr="00537726">
        <w:rPr>
          <w:lang w:val="fr-CA"/>
        </w:rPr>
        <w:t xml:space="preserve">Cowansville (Qc), </w:t>
      </w:r>
      <w:r w:rsidRPr="00537726">
        <w:rPr>
          <w:color w:val="000000"/>
          <w:lang w:val="fr-CA"/>
        </w:rPr>
        <w:t>Yvon Blais,</w:t>
      </w:r>
      <w:r>
        <w:rPr>
          <w:color w:val="000000"/>
          <w:lang w:val="fr-CA"/>
        </w:rPr>
        <w:t xml:space="preserve"> 2003.</w:t>
      </w:r>
    </w:p>
    <w:p w:rsidR="00E6229D" w:rsidRDefault="00E6229D" w:rsidP="00E6229D">
      <w:pPr>
        <w:pStyle w:val="SCCNormalDoubleSpacing"/>
        <w:spacing w:after="240" w:line="240" w:lineRule="auto"/>
        <w:ind w:left="540" w:hanging="540"/>
        <w:rPr>
          <w:rStyle w:val="solexhl"/>
          <w:szCs w:val="24"/>
          <w:lang w:val="fr-CA" w:eastAsia="en-US"/>
        </w:rPr>
      </w:pPr>
      <w:r w:rsidRPr="00E6229D">
        <w:rPr>
          <w:rStyle w:val="solexhl"/>
          <w:rFonts w:eastAsiaTheme="majorEastAsia"/>
          <w:szCs w:val="24"/>
          <w:lang w:val="fr-CA" w:eastAsia="en-US"/>
        </w:rPr>
        <w:t>Bisson</w:t>
      </w:r>
      <w:r w:rsidRPr="00E6229D">
        <w:rPr>
          <w:rStyle w:val="solexhl"/>
          <w:szCs w:val="24"/>
          <w:lang w:val="fr-CA" w:eastAsia="en-US"/>
        </w:rPr>
        <w:t>, Alain</w:t>
      </w:r>
      <w:r w:rsidRPr="00E6229D">
        <w:rPr>
          <w:rStyle w:val="solexhl"/>
          <w:szCs w:val="24"/>
          <w:lang w:val="fr-CA" w:eastAsia="en-US"/>
        </w:rPr>
        <w:noBreakHyphen/>
        <w:t xml:space="preserve">François. « La Disposition préliminaire du </w:t>
      </w:r>
      <w:r w:rsidRPr="00E6229D">
        <w:rPr>
          <w:rStyle w:val="solexhl"/>
          <w:i/>
          <w:szCs w:val="24"/>
          <w:lang w:val="fr-CA" w:eastAsia="en-US"/>
        </w:rPr>
        <w:t>Code civil du Québec</w:t>
      </w:r>
      <w:r>
        <w:rPr>
          <w:rStyle w:val="solexhl"/>
          <w:szCs w:val="24"/>
          <w:lang w:val="fr-CA" w:eastAsia="en-US"/>
        </w:rPr>
        <w:t xml:space="preserve"> » (1999), 44 </w:t>
      </w:r>
      <w:r>
        <w:rPr>
          <w:rStyle w:val="solexhl"/>
          <w:i/>
          <w:szCs w:val="24"/>
          <w:lang w:val="fr-CA" w:eastAsia="en-US"/>
        </w:rPr>
        <w:t xml:space="preserve">R.D. </w:t>
      </w:r>
      <w:r w:rsidRPr="00E6229D">
        <w:rPr>
          <w:rStyle w:val="solexhl"/>
          <w:rFonts w:eastAsiaTheme="majorEastAsia"/>
          <w:i/>
          <w:szCs w:val="24"/>
          <w:lang w:val="fr-CA" w:eastAsia="en-US"/>
        </w:rPr>
        <w:t>McGill</w:t>
      </w:r>
      <w:r>
        <w:rPr>
          <w:rStyle w:val="solexhl"/>
          <w:szCs w:val="24"/>
          <w:lang w:val="fr-CA" w:eastAsia="en-US"/>
        </w:rPr>
        <w:t xml:space="preserve"> </w:t>
      </w:r>
      <w:r w:rsidRPr="00E6229D">
        <w:rPr>
          <w:rStyle w:val="solexhl"/>
          <w:szCs w:val="24"/>
          <w:lang w:val="fr-CA" w:eastAsia="en-US"/>
        </w:rPr>
        <w:t>539.</w:t>
      </w:r>
    </w:p>
    <w:p w:rsidR="00360341" w:rsidRPr="00360341" w:rsidRDefault="00360341" w:rsidP="00360341">
      <w:pPr>
        <w:pStyle w:val="SCCNormalDoubleSpacing"/>
        <w:spacing w:after="240" w:line="240" w:lineRule="auto"/>
        <w:ind w:left="540" w:hanging="540"/>
        <w:rPr>
          <w:rStyle w:val="solexhl"/>
          <w:rFonts w:eastAsiaTheme="majorEastAsia"/>
          <w:szCs w:val="24"/>
          <w:lang w:eastAsia="en-US"/>
        </w:rPr>
      </w:pPr>
      <w:r w:rsidRPr="00360341">
        <w:rPr>
          <w:rFonts w:eastAsiaTheme="majorEastAsia"/>
          <w:szCs w:val="24"/>
          <w:lang w:eastAsia="en-US"/>
        </w:rPr>
        <w:t xml:space="preserve">Borrows, John. </w:t>
      </w:r>
      <w:r w:rsidRPr="00360341">
        <w:rPr>
          <w:rFonts w:eastAsiaTheme="majorEastAsia"/>
          <w:szCs w:val="24"/>
          <w:lang w:val="en-US" w:eastAsia="en-US"/>
        </w:rPr>
        <w:t>« </w:t>
      </w:r>
      <w:r w:rsidRPr="00360341">
        <w:rPr>
          <w:rFonts w:eastAsiaTheme="majorEastAsia"/>
          <w:szCs w:val="24"/>
          <w:lang w:eastAsia="en-US"/>
        </w:rPr>
        <w:t>Aboriginal Title and Private Property</w:t>
      </w:r>
      <w:r w:rsidRPr="00360341">
        <w:rPr>
          <w:rFonts w:eastAsiaTheme="majorEastAsia"/>
          <w:szCs w:val="24"/>
          <w:lang w:val="en-US" w:eastAsia="en-US"/>
        </w:rPr>
        <w:t> »</w:t>
      </w:r>
      <w:r w:rsidRPr="00360341">
        <w:rPr>
          <w:rFonts w:eastAsiaTheme="majorEastAsia"/>
          <w:szCs w:val="24"/>
          <w:lang w:eastAsia="en-US"/>
        </w:rPr>
        <w:t xml:space="preserve"> (2015), 71 </w:t>
      </w:r>
      <w:r w:rsidRPr="00360341">
        <w:rPr>
          <w:rFonts w:eastAsiaTheme="majorEastAsia"/>
          <w:i/>
          <w:szCs w:val="24"/>
          <w:lang w:eastAsia="en-US"/>
        </w:rPr>
        <w:t>S.C.L.R.</w:t>
      </w:r>
      <w:r w:rsidRPr="00360341">
        <w:rPr>
          <w:rFonts w:eastAsiaTheme="majorEastAsia"/>
          <w:szCs w:val="24"/>
          <w:lang w:eastAsia="en-US"/>
        </w:rPr>
        <w:t xml:space="preserve"> (2d) 91.</w:t>
      </w:r>
    </w:p>
    <w:p w:rsidR="00DA661F" w:rsidRPr="00DA661F" w:rsidRDefault="00DA661F" w:rsidP="00DA661F">
      <w:pPr>
        <w:pStyle w:val="sccnormaldoublespacing0"/>
        <w:spacing w:before="0" w:beforeAutospacing="0" w:after="240" w:afterAutospacing="0"/>
        <w:ind w:left="540" w:hanging="540"/>
        <w:jc w:val="both"/>
        <w:rPr>
          <w:color w:val="000000"/>
        </w:rPr>
      </w:pPr>
      <w:r w:rsidRPr="00D67073">
        <w:rPr>
          <w:rStyle w:val="solexhl"/>
          <w:color w:val="000000"/>
        </w:rPr>
        <w:t>Briggs, Adria</w:t>
      </w:r>
      <w:r w:rsidRPr="00FD7398">
        <w:rPr>
          <w:rStyle w:val="solexhl"/>
          <w:color w:val="000000"/>
        </w:rPr>
        <w:t xml:space="preserve">n. </w:t>
      </w:r>
      <w:r w:rsidRPr="00FD7398">
        <w:rPr>
          <w:rStyle w:val="solexhl"/>
          <w:i/>
          <w:color w:val="000000"/>
        </w:rPr>
        <w:t>The Conflict of Laws</w:t>
      </w:r>
      <w:r>
        <w:rPr>
          <w:rStyle w:val="solexhl"/>
          <w:color w:val="000000"/>
        </w:rPr>
        <w:t>, 3</w:t>
      </w:r>
      <w:r w:rsidRPr="00FD7398">
        <w:rPr>
          <w:rStyle w:val="solexhl"/>
          <w:color w:val="000000"/>
        </w:rPr>
        <w:t>rd</w:t>
      </w:r>
      <w:r>
        <w:rPr>
          <w:rStyle w:val="solexhl"/>
          <w:color w:val="000000"/>
        </w:rPr>
        <w:t xml:space="preserve"> ed., Oxford, Oxford University Press, 2013.</w:t>
      </w:r>
    </w:p>
    <w:p w:rsidR="002001F3" w:rsidRDefault="002001F3" w:rsidP="00B820BA">
      <w:pPr>
        <w:pStyle w:val="SCCNormalDoubleSpacing"/>
        <w:spacing w:after="240" w:line="240" w:lineRule="auto"/>
        <w:ind w:left="540" w:hanging="540"/>
        <w:rPr>
          <w:lang w:val="fr-CA"/>
        </w:rPr>
      </w:pPr>
      <w:r w:rsidRPr="002001F3">
        <w:rPr>
          <w:lang w:val="fr-CA"/>
        </w:rPr>
        <w:t>Brisson,</w:t>
      </w:r>
      <w:r>
        <w:rPr>
          <w:lang w:val="fr-CA"/>
        </w:rPr>
        <w:t xml:space="preserve"> Jean-Maurice.</w:t>
      </w:r>
      <w:r w:rsidRPr="002001F3">
        <w:rPr>
          <w:lang w:val="fr-CA"/>
        </w:rPr>
        <w:t xml:space="preserve"> « Le Code civil, droit commun? », dans </w:t>
      </w:r>
      <w:r w:rsidRPr="002001F3">
        <w:rPr>
          <w:i/>
          <w:lang w:val="fr-CA"/>
        </w:rPr>
        <w:t>Le nouveau Code civil : interprétation et application — Les journées Maximilien</w:t>
      </w:r>
      <w:r w:rsidRPr="002001F3">
        <w:rPr>
          <w:i/>
          <w:lang w:val="fr-CA"/>
        </w:rPr>
        <w:noBreakHyphen/>
        <w:t>Caron 1992</w:t>
      </w:r>
      <w:r w:rsidRPr="002001F3">
        <w:rPr>
          <w:lang w:val="fr-CA"/>
        </w:rPr>
        <w:t xml:space="preserve">, </w:t>
      </w:r>
      <w:r>
        <w:rPr>
          <w:lang w:val="fr-CA"/>
        </w:rPr>
        <w:t>Montréal, Thémis, 1993</w:t>
      </w:r>
      <w:r w:rsidRPr="002001F3">
        <w:rPr>
          <w:lang w:val="fr-CA"/>
        </w:rPr>
        <w:t>, 292.</w:t>
      </w:r>
    </w:p>
    <w:p w:rsidR="00AC7609" w:rsidRPr="003150C5" w:rsidRDefault="00AC7609" w:rsidP="00AC7609">
      <w:pPr>
        <w:pStyle w:val="SCCNormalDoubleSpacing"/>
        <w:spacing w:after="240" w:line="240" w:lineRule="auto"/>
        <w:ind w:left="540" w:hanging="540"/>
        <w:rPr>
          <w:bCs/>
          <w:lang w:val="fr-CA"/>
        </w:rPr>
      </w:pPr>
      <w:r w:rsidRPr="00360341">
        <w:rPr>
          <w:lang w:val="fr-CA"/>
        </w:rPr>
        <w:t xml:space="preserve">Canada. </w:t>
      </w:r>
      <w:r w:rsidRPr="00360341">
        <w:rPr>
          <w:bCs/>
          <w:lang w:val="fr-CA"/>
        </w:rPr>
        <w:t xml:space="preserve">Relations Couronne-Autochtones et Affaires du Nord Canada. </w:t>
      </w:r>
      <w:r w:rsidRPr="00360341">
        <w:rPr>
          <w:bCs/>
          <w:i/>
          <w:lang w:val="fr-CA"/>
        </w:rPr>
        <w:t>Entente de principe concernant les revendications territoriales des Innus du Labrador</w:t>
      </w:r>
      <w:r w:rsidRPr="00360341">
        <w:rPr>
          <w:bCs/>
          <w:lang w:val="fr-CA"/>
        </w:rPr>
        <w:t xml:space="preserve">, </w:t>
      </w:r>
      <w:r w:rsidRPr="00FD0962">
        <w:rPr>
          <w:color w:val="000000"/>
          <w:lang w:val="fr-CA"/>
        </w:rPr>
        <w:t>dernière mise à jour</w:t>
      </w:r>
      <w:r w:rsidRPr="00360341">
        <w:rPr>
          <w:bCs/>
          <w:lang w:val="fr-CA"/>
        </w:rPr>
        <w:t xml:space="preserve"> 15 mars 2012 (en ligne : https://www.rcaanc-cirnac.gc.ca/DAM/DAM-CIRNAC-RCAANC/DAM-TAG/STAGING/texte-text/ccl_farim_nl_labinnu_caip_1331749872252_fra.pdf; version archivée : </w:t>
      </w:r>
      <w:r w:rsidRPr="00771C5F">
        <w:rPr>
          <w:rStyle w:val="Hyperlink"/>
          <w:bCs/>
          <w:color w:val="auto"/>
          <w:u w:val="none"/>
          <w:lang w:val="fr-CA"/>
        </w:rPr>
        <w:t>https://www.scc-csc.ca/cso-dce/2020SCC-CSC4_1_fra.pdf</w:t>
      </w:r>
      <w:r w:rsidRPr="00360341">
        <w:rPr>
          <w:bCs/>
          <w:lang w:val="fr-CA"/>
        </w:rPr>
        <w:t>).</w:t>
      </w:r>
    </w:p>
    <w:p w:rsidR="004342BF" w:rsidRDefault="004342BF" w:rsidP="00360341">
      <w:pPr>
        <w:pStyle w:val="SCCNormalDoubleSpacing"/>
        <w:spacing w:after="240" w:line="240" w:lineRule="auto"/>
        <w:ind w:left="540" w:hanging="540"/>
        <w:rPr>
          <w:lang w:val="en-US"/>
        </w:rPr>
      </w:pPr>
      <w:r w:rsidRPr="004342BF">
        <w:rPr>
          <w:bCs/>
          <w:lang w:val="en-US"/>
        </w:rPr>
        <w:t>Canada. « </w:t>
      </w:r>
      <w:r>
        <w:rPr>
          <w:lang w:val="en-US"/>
        </w:rPr>
        <w:t xml:space="preserve">Report of the Ottawa </w:t>
      </w:r>
      <w:proofErr w:type="gramStart"/>
      <w:r>
        <w:rPr>
          <w:lang w:val="en-US"/>
        </w:rPr>
        <w:t>Delegation</w:t>
      </w:r>
      <w:r w:rsidRPr="004342BF">
        <w:rPr>
          <w:bCs/>
          <w:lang w:val="en-US"/>
        </w:rPr>
        <w:t> </w:t>
      </w:r>
      <w:r>
        <w:rPr>
          <w:lang w:val="en-US"/>
        </w:rPr>
        <w:t>:</w:t>
      </w:r>
      <w:proofErr w:type="gramEnd"/>
      <w:r>
        <w:rPr>
          <w:lang w:val="en-US"/>
        </w:rPr>
        <w:t xml:space="preserve"> Proposed Arrangements for the Entry of Newfoundland into Confederation</w:t>
      </w:r>
      <w:r w:rsidRPr="004342BF">
        <w:rPr>
          <w:lang w:val="en-US"/>
        </w:rPr>
        <w:t> »</w:t>
      </w:r>
      <w:r>
        <w:rPr>
          <w:lang w:val="en-US"/>
        </w:rPr>
        <w:t xml:space="preserve">, </w:t>
      </w:r>
      <w:r w:rsidRPr="004342BF">
        <w:rPr>
          <w:lang w:val="en-US"/>
        </w:rPr>
        <w:t xml:space="preserve">in James K. Hiller and Michael F. Harrington, eds., </w:t>
      </w:r>
      <w:r w:rsidRPr="004342BF">
        <w:rPr>
          <w:i/>
          <w:lang w:val="en-US"/>
        </w:rPr>
        <w:t>The Newfoundland National Convention 1946-1948 : Reports and Papers</w:t>
      </w:r>
      <w:r>
        <w:rPr>
          <w:lang w:val="en-US"/>
        </w:rPr>
        <w:t>, vol. 2, Montréal,</w:t>
      </w:r>
      <w:r w:rsidR="00BC247A">
        <w:rPr>
          <w:lang w:val="en-US"/>
        </w:rPr>
        <w:t xml:space="preserve"> McGill</w:t>
      </w:r>
      <w:r w:rsidR="00BC247A">
        <w:rPr>
          <w:lang w:val="en-US"/>
        </w:rPr>
        <w:noBreakHyphen/>
      </w:r>
      <w:r w:rsidRPr="004342BF">
        <w:rPr>
          <w:lang w:val="en-US"/>
        </w:rPr>
        <w:t>Queen’s University Press, 1995.</w:t>
      </w:r>
    </w:p>
    <w:p w:rsidR="00F831BC" w:rsidRPr="002001F3" w:rsidRDefault="00F831BC" w:rsidP="00F831BC">
      <w:pPr>
        <w:pStyle w:val="SCCNormalDoubleSpacing"/>
        <w:spacing w:after="240" w:line="240" w:lineRule="auto"/>
        <w:ind w:left="540" w:hanging="540"/>
        <w:rPr>
          <w:lang w:val="fr-CA"/>
        </w:rPr>
      </w:pPr>
      <w:r w:rsidRPr="00F831BC">
        <w:rPr>
          <w:lang w:val="fr-CA"/>
        </w:rPr>
        <w:t>Cantin Cumyn, Madeleine. « De l</w:t>
      </w:r>
      <w:r w:rsidR="009F72D8">
        <w:rPr>
          <w:lang w:val="fr-CA"/>
        </w:rPr>
        <w:t>’</w:t>
      </w:r>
      <w:r w:rsidRPr="00F831BC">
        <w:rPr>
          <w:lang w:val="fr-CA"/>
        </w:rPr>
        <w:t>existence et du régime juridique des droits réels de jouissance innommés</w:t>
      </w:r>
      <w:r w:rsidR="004B111C" w:rsidRPr="00F831BC">
        <w:rPr>
          <w:lang w:val="fr-CA"/>
        </w:rPr>
        <w:t> </w:t>
      </w:r>
      <w:r w:rsidRPr="00F831BC">
        <w:rPr>
          <w:lang w:val="fr-CA"/>
        </w:rPr>
        <w:t>: Essai sur l</w:t>
      </w:r>
      <w:r w:rsidR="009F72D8">
        <w:rPr>
          <w:lang w:val="fr-CA"/>
        </w:rPr>
        <w:t>’</w:t>
      </w:r>
      <w:r w:rsidRPr="00F831BC">
        <w:rPr>
          <w:lang w:val="fr-CA"/>
        </w:rPr>
        <w:t xml:space="preserve">énumération limitative des droits réels » (1986), 46 </w:t>
      </w:r>
      <w:r w:rsidRPr="00F831BC">
        <w:rPr>
          <w:i/>
          <w:lang w:val="fr-CA"/>
        </w:rPr>
        <w:t>R. du B.</w:t>
      </w:r>
      <w:r w:rsidRPr="00F831BC">
        <w:rPr>
          <w:lang w:val="fr-CA"/>
        </w:rPr>
        <w:t xml:space="preserve"> 3.</w:t>
      </w:r>
    </w:p>
    <w:p w:rsidR="00B60F88" w:rsidRDefault="00B60F88" w:rsidP="00B820BA">
      <w:pPr>
        <w:pStyle w:val="SCCNormalDoubleSpacing"/>
        <w:spacing w:after="240" w:line="240" w:lineRule="auto"/>
        <w:ind w:left="540" w:hanging="540"/>
        <w:rPr>
          <w:color w:val="000000"/>
          <w:szCs w:val="24"/>
          <w:lang w:val="fr-CA" w:eastAsia="en-US"/>
        </w:rPr>
      </w:pPr>
      <w:r w:rsidRPr="00F422D5">
        <w:rPr>
          <w:lang w:val="fr-CA"/>
        </w:rPr>
        <w:t>Castel</w:t>
      </w:r>
      <w:r w:rsidRPr="00F422D5">
        <w:rPr>
          <w:color w:val="000000"/>
          <w:szCs w:val="24"/>
          <w:lang w:val="fr-CA" w:eastAsia="en-US"/>
        </w:rPr>
        <w:t>, Jean</w:t>
      </w:r>
      <w:r w:rsidR="000916C5" w:rsidRPr="00F422D5">
        <w:rPr>
          <w:color w:val="000000"/>
          <w:szCs w:val="24"/>
          <w:lang w:val="fr-CA" w:eastAsia="en-US"/>
        </w:rPr>
        <w:noBreakHyphen/>
      </w:r>
      <w:r w:rsidRPr="00F422D5">
        <w:rPr>
          <w:color w:val="000000"/>
          <w:szCs w:val="24"/>
          <w:lang w:val="fr-CA" w:eastAsia="en-US"/>
        </w:rPr>
        <w:t>Gabriel. </w:t>
      </w:r>
      <w:r w:rsidRPr="00B60F88">
        <w:rPr>
          <w:i/>
          <w:iCs/>
          <w:color w:val="000000"/>
          <w:szCs w:val="24"/>
          <w:lang w:val="fr-CA" w:eastAsia="en-US"/>
        </w:rPr>
        <w:t>Droit international privé québécois</w:t>
      </w:r>
      <w:r w:rsidRPr="00B60F88">
        <w:rPr>
          <w:color w:val="000000"/>
          <w:szCs w:val="24"/>
          <w:lang w:val="fr-CA" w:eastAsia="en-US"/>
        </w:rPr>
        <w:t>, Toronto, Butterworths, 1980.</w:t>
      </w:r>
    </w:p>
    <w:p w:rsidR="00EC08BC" w:rsidRPr="00B601E6" w:rsidRDefault="00EC08BC" w:rsidP="00EC08BC">
      <w:pPr>
        <w:pStyle w:val="SCCNormalDoubleSpacing"/>
        <w:spacing w:after="240" w:line="240" w:lineRule="auto"/>
        <w:ind w:left="540" w:hanging="540"/>
        <w:rPr>
          <w:color w:val="000000"/>
          <w:lang w:val="fr-CA"/>
        </w:rPr>
      </w:pPr>
      <w:r w:rsidRPr="00A71E89">
        <w:rPr>
          <w:color w:val="000000"/>
          <w:lang w:val="fr-CA"/>
        </w:rPr>
        <w:t xml:space="preserve">Cornu, Gérard, ed. </w:t>
      </w:r>
      <w:r w:rsidRPr="00B601E6">
        <w:rPr>
          <w:i/>
          <w:color w:val="000000"/>
          <w:lang w:val="fr-CA"/>
        </w:rPr>
        <w:t>Dictionary of the Civil Code</w:t>
      </w:r>
      <w:r w:rsidR="00B601E6" w:rsidRPr="00B601E6">
        <w:rPr>
          <w:color w:val="000000"/>
          <w:lang w:val="fr-CA"/>
        </w:rPr>
        <w:t>,</w:t>
      </w:r>
      <w:r w:rsidRPr="00B601E6">
        <w:rPr>
          <w:color w:val="000000"/>
          <w:lang w:val="fr-CA"/>
        </w:rPr>
        <w:t xml:space="preserve"> </w:t>
      </w:r>
      <w:r w:rsidR="00B601E6" w:rsidRPr="00B601E6">
        <w:rPr>
          <w:color w:val="000000"/>
          <w:lang w:val="fr-CA"/>
        </w:rPr>
        <w:t>Paris, LexisNexis, 2014, « </w:t>
      </w:r>
      <w:r w:rsidRPr="00B601E6">
        <w:rPr>
          <w:iCs/>
          <w:color w:val="000000"/>
          <w:lang w:val="fr-CA"/>
        </w:rPr>
        <w:t>action personnelle</w:t>
      </w:r>
      <w:r w:rsidR="00B601E6" w:rsidRPr="00B601E6">
        <w:rPr>
          <w:color w:val="000000"/>
          <w:lang w:val="fr-CA"/>
        </w:rPr>
        <w:t> », « </w:t>
      </w:r>
      <w:r w:rsidRPr="00B601E6">
        <w:rPr>
          <w:iCs/>
          <w:color w:val="000000"/>
          <w:lang w:val="fr-CA"/>
        </w:rPr>
        <w:t xml:space="preserve">action </w:t>
      </w:r>
      <w:r w:rsidRPr="00B601E6">
        <w:rPr>
          <w:lang w:val="fr-CA"/>
        </w:rPr>
        <w:t>réel</w:t>
      </w:r>
      <w:r w:rsidRPr="00B601E6">
        <w:rPr>
          <w:color w:val="000000"/>
          <w:lang w:val="fr-CA"/>
        </w:rPr>
        <w:t>le</w:t>
      </w:r>
      <w:r w:rsidR="00B601E6" w:rsidRPr="00B601E6">
        <w:rPr>
          <w:color w:val="000000"/>
          <w:lang w:val="fr-CA"/>
        </w:rPr>
        <w:t> ».</w:t>
      </w:r>
    </w:p>
    <w:p w:rsidR="000B385A" w:rsidRDefault="000B385A" w:rsidP="00B820BA">
      <w:pPr>
        <w:pStyle w:val="SCCNormalDoubleSpacing"/>
        <w:spacing w:after="240" w:line="240" w:lineRule="auto"/>
        <w:ind w:left="540" w:hanging="540"/>
        <w:rPr>
          <w:color w:val="000000"/>
          <w:lang w:val="fr-CA"/>
        </w:rPr>
      </w:pPr>
      <w:r w:rsidRPr="005E66E3">
        <w:rPr>
          <w:rStyle w:val="solexhl"/>
          <w:rFonts w:eastAsiaTheme="majorEastAsia"/>
          <w:color w:val="000000"/>
          <w:lang w:val="fr-CA"/>
        </w:rPr>
        <w:lastRenderedPageBreak/>
        <w:t>Cornu</w:t>
      </w:r>
      <w:r w:rsidRPr="005E66E3">
        <w:rPr>
          <w:color w:val="000000"/>
          <w:lang w:val="fr-CA"/>
        </w:rPr>
        <w:t>, Gérard, dir. </w:t>
      </w:r>
      <w:r w:rsidRPr="005E66E3">
        <w:rPr>
          <w:rStyle w:val="solexhl"/>
          <w:rFonts w:eastAsiaTheme="majorEastAsia"/>
          <w:i/>
          <w:iCs/>
          <w:color w:val="000000"/>
          <w:lang w:val="fr-CA"/>
        </w:rPr>
        <w:t>Vocabulaire juridique</w:t>
      </w:r>
      <w:r w:rsidR="00144831" w:rsidRPr="005E66E3">
        <w:rPr>
          <w:color w:val="000000"/>
          <w:lang w:val="fr-CA"/>
        </w:rPr>
        <w:t>, 12</w:t>
      </w:r>
      <w:r w:rsidRPr="005E66E3">
        <w:rPr>
          <w:color w:val="000000"/>
          <w:vertAlign w:val="superscript"/>
          <w:lang w:val="fr-CA"/>
        </w:rPr>
        <w:t>e</w:t>
      </w:r>
      <w:r w:rsidRPr="005E66E3">
        <w:rPr>
          <w:color w:val="000000"/>
          <w:lang w:val="fr-CA"/>
        </w:rPr>
        <w:t xml:space="preserve"> éd., Paris, Presses universitaires de </w:t>
      </w:r>
      <w:r w:rsidR="00144831" w:rsidRPr="005E66E3">
        <w:rPr>
          <w:color w:val="000000"/>
          <w:lang w:val="fr-CA"/>
        </w:rPr>
        <w:t>France, 2018</w:t>
      </w:r>
      <w:r w:rsidRPr="005E66E3">
        <w:rPr>
          <w:color w:val="000000"/>
          <w:lang w:val="fr-CA"/>
        </w:rPr>
        <w:t>, « action mixte », « action p</w:t>
      </w:r>
      <w:r w:rsidR="00A734C5" w:rsidRPr="005E66E3">
        <w:rPr>
          <w:color w:val="000000"/>
          <w:lang w:val="fr-CA"/>
        </w:rPr>
        <w:t>ersonnelle », « action réelle », « droit réel ».</w:t>
      </w:r>
    </w:p>
    <w:p w:rsidR="009007B1" w:rsidRDefault="009007B1" w:rsidP="009007B1">
      <w:pPr>
        <w:pStyle w:val="SCCNormalDoubleSpacing"/>
        <w:spacing w:after="240" w:line="240" w:lineRule="auto"/>
        <w:ind w:left="540" w:hanging="540"/>
        <w:rPr>
          <w:color w:val="000000"/>
          <w:lang w:val="fr-CA"/>
        </w:rPr>
      </w:pPr>
      <w:r w:rsidRPr="009007B1">
        <w:rPr>
          <w:color w:val="000000"/>
          <w:lang w:val="fr-CA"/>
        </w:rPr>
        <w:t>Côté, Pierre</w:t>
      </w:r>
      <w:r w:rsidRPr="009007B1">
        <w:rPr>
          <w:color w:val="000000"/>
          <w:lang w:val="fr-CA"/>
        </w:rPr>
        <w:noBreakHyphen/>
        <w:t>André, avec la collaboration de Stéphane Beaulac et Mathieu Devinat. </w:t>
      </w:r>
      <w:r w:rsidRPr="009007B1">
        <w:rPr>
          <w:i/>
          <w:iCs/>
          <w:color w:val="000000"/>
          <w:lang w:val="fr-CA"/>
        </w:rPr>
        <w:t>Interprétation des lois</w:t>
      </w:r>
      <w:r w:rsidRPr="009007B1">
        <w:rPr>
          <w:color w:val="000000"/>
          <w:lang w:val="fr-CA"/>
        </w:rPr>
        <w:t>, 4</w:t>
      </w:r>
      <w:r w:rsidRPr="009007B1">
        <w:rPr>
          <w:color w:val="000000"/>
          <w:vertAlign w:val="superscript"/>
          <w:lang w:val="fr-CA"/>
        </w:rPr>
        <w:t>e</w:t>
      </w:r>
      <w:r w:rsidRPr="009007B1">
        <w:rPr>
          <w:color w:val="000000"/>
          <w:lang w:val="fr-CA"/>
        </w:rPr>
        <w:t> éd., Montréal, Thémis, 2009.</w:t>
      </w:r>
    </w:p>
    <w:p w:rsidR="00D91F89" w:rsidRPr="003673B7" w:rsidRDefault="00D91F89" w:rsidP="00B820BA">
      <w:pPr>
        <w:pStyle w:val="SCCNormalDoubleSpacing"/>
        <w:spacing w:after="240" w:line="240" w:lineRule="auto"/>
        <w:ind w:left="540" w:hanging="540"/>
        <w:rPr>
          <w:color w:val="000000"/>
          <w:lang w:val="fr-CA"/>
        </w:rPr>
      </w:pPr>
      <w:r w:rsidRPr="003673B7">
        <w:rPr>
          <w:color w:val="000000"/>
          <w:lang w:val="fr-CA"/>
        </w:rPr>
        <w:t>Cromwell, T. A. « Aspects of Constitutional Judicial Review in Canada » (1995), 46 </w:t>
      </w:r>
      <w:r w:rsidRPr="003673B7">
        <w:rPr>
          <w:rStyle w:val="solexhl"/>
          <w:rFonts w:eastAsiaTheme="majorEastAsia"/>
          <w:i/>
          <w:iCs/>
          <w:color w:val="000000"/>
          <w:lang w:val="fr-CA"/>
        </w:rPr>
        <w:t>S.C. L. Rev</w:t>
      </w:r>
      <w:r w:rsidRPr="003673B7">
        <w:rPr>
          <w:i/>
          <w:iCs/>
          <w:color w:val="000000"/>
          <w:lang w:val="fr-CA"/>
        </w:rPr>
        <w:t>.</w:t>
      </w:r>
      <w:r w:rsidRPr="003673B7">
        <w:rPr>
          <w:color w:val="000000"/>
          <w:lang w:val="fr-CA"/>
        </w:rPr>
        <w:t> 1027.</w:t>
      </w:r>
    </w:p>
    <w:p w:rsidR="0009143D" w:rsidRDefault="0009143D" w:rsidP="0009143D">
      <w:pPr>
        <w:pStyle w:val="SCCNormalDoubleSpacing"/>
        <w:spacing w:after="240" w:line="240" w:lineRule="auto"/>
        <w:ind w:left="540" w:hanging="540"/>
        <w:rPr>
          <w:color w:val="000000"/>
          <w:lang w:val="fr-CA"/>
        </w:rPr>
      </w:pPr>
      <w:r w:rsidRPr="0009143D">
        <w:rPr>
          <w:color w:val="000000"/>
          <w:lang w:val="fr-CA"/>
        </w:rPr>
        <w:t>Debruche, Anne</w:t>
      </w:r>
      <w:r w:rsidR="00C70E7E">
        <w:rPr>
          <w:color w:val="000000"/>
          <w:lang w:val="fr-CA"/>
        </w:rPr>
        <w:noBreakHyphen/>
      </w:r>
      <w:r w:rsidRPr="0009143D">
        <w:rPr>
          <w:color w:val="000000"/>
          <w:lang w:val="fr-CA"/>
        </w:rPr>
        <w:t xml:space="preserve">Françoise. </w:t>
      </w:r>
      <w:r w:rsidRPr="0009143D">
        <w:rPr>
          <w:i/>
          <w:color w:val="000000"/>
          <w:lang w:val="fr-CA"/>
        </w:rPr>
        <w:t>Équité du juge et territoires du droit privé</w:t>
      </w:r>
      <w:r w:rsidRPr="0009143D">
        <w:rPr>
          <w:color w:val="000000"/>
          <w:lang w:val="fr-CA"/>
        </w:rPr>
        <w:t>, Bruxelles, Bruylant, 2008.</w:t>
      </w:r>
    </w:p>
    <w:p w:rsidR="004303EA" w:rsidRPr="008B26F6" w:rsidRDefault="008B26F6" w:rsidP="004303EA">
      <w:pPr>
        <w:pStyle w:val="SCCNormalDoubleSpacing"/>
        <w:spacing w:after="240" w:line="240" w:lineRule="auto"/>
        <w:ind w:left="540" w:hanging="540"/>
        <w:rPr>
          <w:color w:val="000000"/>
          <w:lang w:val="fr-CA"/>
        </w:rPr>
      </w:pPr>
      <w:r w:rsidRPr="008B26F6">
        <w:rPr>
          <w:i/>
          <w:color w:val="000000"/>
          <w:lang w:val="fr-CA"/>
        </w:rPr>
        <w:t>Dictionnaire de droit privé et l</w:t>
      </w:r>
      <w:r w:rsidR="004303EA" w:rsidRPr="008B26F6">
        <w:rPr>
          <w:i/>
          <w:color w:val="000000"/>
          <w:lang w:val="fr-CA"/>
        </w:rPr>
        <w:t>exiques bilingues</w:t>
      </w:r>
      <w:r w:rsidR="004303EA" w:rsidRPr="008B26F6">
        <w:rPr>
          <w:color w:val="000000"/>
          <w:lang w:val="fr-CA"/>
        </w:rPr>
        <w:t>, 2</w:t>
      </w:r>
      <w:r w:rsidR="004303EA" w:rsidRPr="008B26F6">
        <w:rPr>
          <w:color w:val="000000"/>
          <w:vertAlign w:val="superscript"/>
          <w:lang w:val="fr-CA"/>
        </w:rPr>
        <w:t>e</w:t>
      </w:r>
      <w:r w:rsidR="004303EA" w:rsidRPr="008B26F6">
        <w:rPr>
          <w:color w:val="000000"/>
          <w:lang w:val="fr-CA"/>
        </w:rPr>
        <w:t xml:space="preserve"> éd., </w:t>
      </w:r>
      <w:r w:rsidR="004303EA" w:rsidRPr="008B26F6">
        <w:rPr>
          <w:lang w:val="fr-CA"/>
        </w:rPr>
        <w:t xml:space="preserve">Cowansville (Qc), </w:t>
      </w:r>
      <w:r w:rsidR="004303EA" w:rsidRPr="008B26F6">
        <w:rPr>
          <w:color w:val="000000"/>
          <w:lang w:val="fr-CA"/>
        </w:rPr>
        <w:t>Yvon Blais, 1991, « action mixte », « action personnelle », « action réelle ».</w:t>
      </w:r>
    </w:p>
    <w:p w:rsidR="004303EA" w:rsidRPr="005C62E8" w:rsidRDefault="004303EA" w:rsidP="004303EA">
      <w:pPr>
        <w:pStyle w:val="SCCNormalDoubleSpacing"/>
        <w:spacing w:after="240" w:line="240" w:lineRule="auto"/>
        <w:ind w:left="540" w:hanging="540"/>
        <w:rPr>
          <w:lang w:val="fr-CA"/>
        </w:rPr>
      </w:pPr>
      <w:r w:rsidRPr="005C62E8">
        <w:rPr>
          <w:rStyle w:val="solexhl"/>
          <w:rFonts w:eastAsiaTheme="majorEastAsia"/>
          <w:i/>
          <w:iCs/>
          <w:color w:val="000000"/>
          <w:lang w:val="fr-CA"/>
        </w:rPr>
        <w:t>Dictionnaire de droit privé et lexiques bilingues : Les biens</w:t>
      </w:r>
      <w:r w:rsidRPr="005C62E8">
        <w:rPr>
          <w:rStyle w:val="solexhl"/>
          <w:rFonts w:eastAsiaTheme="majorEastAsia"/>
          <w:color w:val="000000"/>
          <w:lang w:val="fr-CA"/>
        </w:rPr>
        <w:t>,</w:t>
      </w:r>
      <w:r w:rsidR="00537726" w:rsidRPr="005C62E8">
        <w:rPr>
          <w:rStyle w:val="solexhl"/>
          <w:rFonts w:eastAsiaTheme="majorEastAsia"/>
          <w:color w:val="000000"/>
          <w:lang w:val="fr-CA"/>
        </w:rPr>
        <w:t xml:space="preserve"> </w:t>
      </w:r>
      <w:r w:rsidRPr="005C62E8">
        <w:rPr>
          <w:color w:val="000000"/>
          <w:lang w:val="fr-CA"/>
        </w:rPr>
        <w:t>Cowansville (Qc), Yvon Blais, 2012, « </w:t>
      </w:r>
      <w:r w:rsidRPr="005C62E8">
        <w:rPr>
          <w:iCs/>
          <w:color w:val="000000"/>
          <w:lang w:val="fr-CA"/>
        </w:rPr>
        <w:t>droit réel</w:t>
      </w:r>
      <w:r w:rsidR="003D560D" w:rsidRPr="005C62E8">
        <w:rPr>
          <w:color w:val="000000"/>
          <w:lang w:val="fr-CA"/>
        </w:rPr>
        <w:t> », « titre aborigène ».</w:t>
      </w:r>
    </w:p>
    <w:p w:rsidR="00F53F67" w:rsidRDefault="00E9229F" w:rsidP="00B820BA">
      <w:pPr>
        <w:pStyle w:val="SCCNormalDoubleSpacing"/>
        <w:spacing w:after="240" w:line="240" w:lineRule="auto"/>
        <w:ind w:left="540" w:hanging="540"/>
        <w:rPr>
          <w:lang w:val="fr-CA"/>
        </w:rPr>
      </w:pPr>
      <w:r w:rsidRPr="00525DEF">
        <w:rPr>
          <w:i/>
          <w:lang w:val="fr-CA"/>
        </w:rPr>
        <w:t>Dictionnaire de droit privé et lexiques bilingues</w:t>
      </w:r>
      <w:r w:rsidR="000916C5" w:rsidRPr="00525DEF">
        <w:rPr>
          <w:lang w:val="fr-CA"/>
        </w:rPr>
        <w:t> </w:t>
      </w:r>
      <w:r w:rsidR="000916C5" w:rsidRPr="008635FF">
        <w:rPr>
          <w:i/>
          <w:lang w:val="fr-CA"/>
        </w:rPr>
        <w:t>:</w:t>
      </w:r>
      <w:r w:rsidRPr="00525DEF">
        <w:rPr>
          <w:i/>
          <w:lang w:val="fr-CA"/>
        </w:rPr>
        <w:t xml:space="preserve"> Les obligations</w:t>
      </w:r>
      <w:r w:rsidRPr="00525DEF">
        <w:rPr>
          <w:lang w:val="fr-CA"/>
        </w:rPr>
        <w:t>, Cowans</w:t>
      </w:r>
      <w:r w:rsidR="00BC247A">
        <w:rPr>
          <w:lang w:val="fr-CA"/>
        </w:rPr>
        <w:t>ville (Qc), Yvon Blais, 2003, « droit personnel », « droit réel </w:t>
      </w:r>
      <w:r w:rsidRPr="00525DEF">
        <w:rPr>
          <w:lang w:val="fr-CA"/>
        </w:rPr>
        <w:t>».</w:t>
      </w:r>
    </w:p>
    <w:p w:rsidR="004C2BA5" w:rsidRDefault="004C2BA5" w:rsidP="00BC247A">
      <w:pPr>
        <w:spacing w:after="240"/>
        <w:rPr>
          <w:color w:val="000000"/>
          <w:lang w:val="fr-CA"/>
        </w:rPr>
      </w:pPr>
      <w:r w:rsidRPr="000218B1">
        <w:rPr>
          <w:color w:val="000000"/>
          <w:lang w:val="fr-CA"/>
        </w:rPr>
        <w:t xml:space="preserve">Dross, William. </w:t>
      </w:r>
      <w:r w:rsidRPr="000218B1">
        <w:rPr>
          <w:i/>
          <w:color w:val="000000"/>
          <w:lang w:val="fr-CA"/>
        </w:rPr>
        <w:t>Droit des biens</w:t>
      </w:r>
      <w:r w:rsidRPr="000218B1">
        <w:rPr>
          <w:color w:val="000000"/>
          <w:lang w:val="fr-CA"/>
        </w:rPr>
        <w:t>, 4</w:t>
      </w:r>
      <w:r w:rsidRPr="000218B1">
        <w:rPr>
          <w:color w:val="000000"/>
          <w:vertAlign w:val="superscript"/>
          <w:lang w:val="fr-CA"/>
        </w:rPr>
        <w:t>e</w:t>
      </w:r>
      <w:r w:rsidR="00BC247A">
        <w:rPr>
          <w:color w:val="000000"/>
          <w:lang w:val="fr-CA"/>
        </w:rPr>
        <w:t xml:space="preserve"> éd., Issy</w:t>
      </w:r>
      <w:r w:rsidR="00BC247A">
        <w:rPr>
          <w:color w:val="000000"/>
          <w:lang w:val="fr-CA"/>
        </w:rPr>
        <w:noBreakHyphen/>
        <w:t>les</w:t>
      </w:r>
      <w:r w:rsidR="00BC247A">
        <w:rPr>
          <w:color w:val="000000"/>
          <w:lang w:val="fr-CA"/>
        </w:rPr>
        <w:noBreakHyphen/>
      </w:r>
      <w:r w:rsidRPr="000218B1">
        <w:rPr>
          <w:color w:val="000000"/>
          <w:lang w:val="fr-CA"/>
        </w:rPr>
        <w:t>Moulineaux (France), LGDJ, 2019.</w:t>
      </w:r>
    </w:p>
    <w:p w:rsidR="00C675F7" w:rsidRDefault="000916C5" w:rsidP="004C2BA5">
      <w:pPr>
        <w:pStyle w:val="SCCNormalDoubleSpacing"/>
        <w:spacing w:after="240" w:line="240" w:lineRule="auto"/>
      </w:pPr>
      <w:r>
        <w:rPr>
          <w:lang w:val="en-US"/>
        </w:rPr>
        <w:t xml:space="preserve">Dukelow, Daphne A. </w:t>
      </w:r>
      <w:r w:rsidR="00AF769C" w:rsidRPr="008D1B42">
        <w:rPr>
          <w:i/>
          <w:iCs/>
          <w:lang w:val="en-US"/>
        </w:rPr>
        <w:t>The Dictionary of Canadian Law</w:t>
      </w:r>
      <w:r w:rsidR="008D1B42">
        <w:rPr>
          <w:lang w:val="en-US"/>
        </w:rPr>
        <w:t>, 4th ed., Toronto,</w:t>
      </w:r>
      <w:r w:rsidR="00AF769C" w:rsidRPr="008D1B42">
        <w:rPr>
          <w:lang w:val="en-US"/>
        </w:rPr>
        <w:t xml:space="preserve"> Carswell, 2011, « </w:t>
      </w:r>
      <w:r w:rsidR="00AF769C" w:rsidRPr="008D1B42">
        <w:rPr>
          <w:i/>
          <w:iCs/>
          <w:lang w:val="en-US"/>
        </w:rPr>
        <w:t>sui g</w:t>
      </w:r>
      <w:r w:rsidR="00AF769C">
        <w:rPr>
          <w:i/>
          <w:iCs/>
        </w:rPr>
        <w:t>eneris</w:t>
      </w:r>
      <w:r w:rsidR="00AF769C" w:rsidRPr="00AF769C">
        <w:t> ».</w:t>
      </w:r>
    </w:p>
    <w:p w:rsidR="00E535C7" w:rsidRPr="00F01290" w:rsidRDefault="00E535C7" w:rsidP="00B820BA">
      <w:pPr>
        <w:pStyle w:val="SCCNormalDoubleSpacing"/>
        <w:spacing w:after="240" w:line="240" w:lineRule="auto"/>
        <w:ind w:left="540" w:hanging="540"/>
        <w:rPr>
          <w:lang w:val="en-US"/>
        </w:rPr>
      </w:pPr>
      <w:r w:rsidRPr="00AF769C">
        <w:rPr>
          <w:lang w:val="en-US"/>
        </w:rPr>
        <w:t xml:space="preserve">Edinger, Elizabeth. </w:t>
      </w:r>
      <w:r w:rsidRPr="00F01290">
        <w:rPr>
          <w:lang w:val="en-US"/>
        </w:rPr>
        <w:t xml:space="preserve">« Territorial Limitations on Provincial Powers » (1982), 14 </w:t>
      </w:r>
      <w:r w:rsidR="00A60D5C" w:rsidRPr="00A60D5C">
        <w:rPr>
          <w:i/>
          <w:lang w:val="en-US"/>
        </w:rPr>
        <w:t>R.D.</w:t>
      </w:r>
      <w:r w:rsidR="00A60D5C">
        <w:rPr>
          <w:lang w:val="en-US"/>
        </w:rPr>
        <w:t xml:space="preserve"> </w:t>
      </w:r>
      <w:r w:rsidR="00A60D5C">
        <w:rPr>
          <w:i/>
          <w:lang w:val="en-US"/>
        </w:rPr>
        <w:t>Ottawa</w:t>
      </w:r>
      <w:r w:rsidRPr="00F01290">
        <w:rPr>
          <w:i/>
          <w:lang w:val="en-US"/>
        </w:rPr>
        <w:t xml:space="preserve"> </w:t>
      </w:r>
      <w:r w:rsidRPr="00F01290">
        <w:rPr>
          <w:lang w:val="en-US"/>
        </w:rPr>
        <w:t>57.</w:t>
      </w:r>
    </w:p>
    <w:p w:rsidR="003748D3" w:rsidRDefault="003748D3" w:rsidP="00B820BA">
      <w:pPr>
        <w:pStyle w:val="SCCNormalDoubleSpacing"/>
        <w:spacing w:after="240" w:line="240" w:lineRule="auto"/>
        <w:ind w:left="540" w:hanging="540"/>
        <w:rPr>
          <w:color w:val="000000"/>
          <w:lang w:val="fr-CA"/>
        </w:rPr>
      </w:pPr>
      <w:r w:rsidRPr="003748D3">
        <w:rPr>
          <w:rStyle w:val="solexhl"/>
          <w:rFonts w:eastAsiaTheme="majorEastAsia"/>
          <w:color w:val="000000"/>
          <w:lang w:val="fr-CA"/>
        </w:rPr>
        <w:t>Emanuelli</w:t>
      </w:r>
      <w:r w:rsidRPr="003748D3">
        <w:rPr>
          <w:color w:val="000000"/>
          <w:lang w:val="fr-CA"/>
        </w:rPr>
        <w:t>,</w:t>
      </w:r>
      <w:r w:rsidR="000916C5">
        <w:rPr>
          <w:color w:val="000000"/>
          <w:lang w:val="fr-CA"/>
        </w:rPr>
        <w:t xml:space="preserve"> </w:t>
      </w:r>
      <w:r w:rsidRPr="003748D3">
        <w:rPr>
          <w:rStyle w:val="solexhl"/>
          <w:rFonts w:eastAsiaTheme="majorEastAsia"/>
          <w:color w:val="000000"/>
          <w:lang w:val="fr-CA"/>
        </w:rPr>
        <w:t>Claude</w:t>
      </w:r>
      <w:r w:rsidR="000916C5">
        <w:rPr>
          <w:color w:val="000000"/>
          <w:lang w:val="fr-CA"/>
        </w:rPr>
        <w:t xml:space="preserve">. </w:t>
      </w:r>
      <w:r w:rsidRPr="003748D3">
        <w:rPr>
          <w:rStyle w:val="solexhl"/>
          <w:rFonts w:eastAsiaTheme="majorEastAsia"/>
          <w:i/>
          <w:iCs/>
          <w:color w:val="000000"/>
          <w:lang w:val="fr-CA"/>
        </w:rPr>
        <w:t>Droit</w:t>
      </w:r>
      <w:r w:rsidR="000916C5">
        <w:rPr>
          <w:i/>
          <w:iCs/>
          <w:color w:val="000000"/>
          <w:lang w:val="fr-CA"/>
        </w:rPr>
        <w:t xml:space="preserve"> </w:t>
      </w:r>
      <w:r w:rsidRPr="003748D3">
        <w:rPr>
          <w:rStyle w:val="solexhl"/>
          <w:rFonts w:eastAsiaTheme="majorEastAsia"/>
          <w:i/>
          <w:iCs/>
          <w:color w:val="000000"/>
          <w:lang w:val="fr-CA"/>
        </w:rPr>
        <w:t>international</w:t>
      </w:r>
      <w:r w:rsidR="000916C5">
        <w:rPr>
          <w:i/>
          <w:iCs/>
          <w:color w:val="000000"/>
          <w:lang w:val="fr-CA"/>
        </w:rPr>
        <w:t xml:space="preserve"> </w:t>
      </w:r>
      <w:r w:rsidRPr="003748D3">
        <w:rPr>
          <w:rStyle w:val="solexhl"/>
          <w:rFonts w:eastAsiaTheme="majorEastAsia"/>
          <w:i/>
          <w:iCs/>
          <w:color w:val="000000"/>
          <w:lang w:val="fr-CA"/>
        </w:rPr>
        <w:t>privé</w:t>
      </w:r>
      <w:r w:rsidR="000916C5">
        <w:rPr>
          <w:i/>
          <w:iCs/>
          <w:color w:val="000000"/>
          <w:lang w:val="fr-CA"/>
        </w:rPr>
        <w:t xml:space="preserve"> </w:t>
      </w:r>
      <w:r w:rsidRPr="003748D3">
        <w:rPr>
          <w:rStyle w:val="solexhl"/>
          <w:rFonts w:eastAsiaTheme="majorEastAsia"/>
          <w:i/>
          <w:iCs/>
          <w:color w:val="000000"/>
          <w:lang w:val="fr-CA"/>
        </w:rPr>
        <w:t>québécois</w:t>
      </w:r>
      <w:r w:rsidRPr="003748D3">
        <w:rPr>
          <w:color w:val="000000"/>
          <w:lang w:val="fr-CA"/>
        </w:rPr>
        <w:t>, 3</w:t>
      </w:r>
      <w:r w:rsidRPr="003748D3">
        <w:rPr>
          <w:color w:val="000000"/>
          <w:vertAlign w:val="superscript"/>
          <w:lang w:val="fr-CA"/>
        </w:rPr>
        <w:t>e</w:t>
      </w:r>
      <w:r w:rsidRPr="003748D3">
        <w:rPr>
          <w:color w:val="000000"/>
          <w:lang w:val="fr-CA"/>
        </w:rPr>
        <w:t> éd.</w:t>
      </w:r>
      <w:r>
        <w:rPr>
          <w:color w:val="000000"/>
          <w:lang w:val="fr-CA"/>
        </w:rPr>
        <w:t>,</w:t>
      </w:r>
      <w:r w:rsidRPr="003748D3">
        <w:rPr>
          <w:color w:val="000000"/>
          <w:lang w:val="fr-CA"/>
        </w:rPr>
        <w:t xml:space="preserve"> </w:t>
      </w:r>
      <w:r w:rsidRPr="00A2179F">
        <w:rPr>
          <w:color w:val="000000"/>
          <w:lang w:val="fr-CA"/>
        </w:rPr>
        <w:t>Montréal, Wilson &amp; Lafleur, 2011.</w:t>
      </w:r>
    </w:p>
    <w:p w:rsidR="004C688B" w:rsidRDefault="004C688B" w:rsidP="004C688B">
      <w:pPr>
        <w:pStyle w:val="SCCNormalDoubleSpacing"/>
        <w:spacing w:after="240" w:line="240" w:lineRule="auto"/>
        <w:ind w:left="540" w:hanging="540"/>
        <w:rPr>
          <w:lang w:val="fr-CA"/>
        </w:rPr>
      </w:pPr>
      <w:r>
        <w:rPr>
          <w:lang w:val="fr-CA"/>
        </w:rPr>
        <w:t xml:space="preserve">Emerich, Yaëll. </w:t>
      </w:r>
      <w:r>
        <w:rPr>
          <w:i/>
          <w:lang w:val="fr-CA"/>
        </w:rPr>
        <w:t>Droit commun des biens</w:t>
      </w:r>
      <w:r w:rsidRPr="004C688B">
        <w:rPr>
          <w:lang w:val="fr-CA"/>
        </w:rPr>
        <w:t> </w:t>
      </w:r>
      <w:r>
        <w:rPr>
          <w:i/>
          <w:lang w:val="fr-CA"/>
        </w:rPr>
        <w:t>: perspective transsystémique</w:t>
      </w:r>
      <w:r>
        <w:rPr>
          <w:lang w:val="fr-CA"/>
        </w:rPr>
        <w:t>, Montréal, Yvons Blais, 2017.</w:t>
      </w:r>
    </w:p>
    <w:p w:rsidR="003673B7" w:rsidRPr="003673B7" w:rsidRDefault="003673B7" w:rsidP="004C688B">
      <w:pPr>
        <w:pStyle w:val="SCCNormalDoubleSpacing"/>
        <w:spacing w:after="240" w:line="240" w:lineRule="auto"/>
        <w:ind w:left="540" w:hanging="540"/>
        <w:rPr>
          <w:lang w:val="fr-CA"/>
        </w:rPr>
      </w:pPr>
      <w:r w:rsidRPr="003673B7">
        <w:rPr>
          <w:lang w:val="fr-CA"/>
        </w:rPr>
        <w:t>Ge</w:t>
      </w:r>
      <w:r w:rsidR="00627B5E">
        <w:rPr>
          <w:lang w:val="fr-CA"/>
        </w:rPr>
        <w:t>ndreau, Paul</w:t>
      </w:r>
      <w:r w:rsidR="00627B5E">
        <w:rPr>
          <w:lang w:val="fr-CA"/>
        </w:rPr>
        <w:noBreakHyphen/>
        <w:t xml:space="preserve">Arthur, et autres. </w:t>
      </w:r>
      <w:r w:rsidRPr="003673B7">
        <w:rPr>
          <w:i/>
          <w:iCs/>
          <w:lang w:val="fr-CA"/>
        </w:rPr>
        <w:t>L</w:t>
      </w:r>
      <w:r w:rsidR="009F72D8">
        <w:rPr>
          <w:i/>
          <w:iCs/>
          <w:lang w:val="fr-CA"/>
        </w:rPr>
        <w:t>’</w:t>
      </w:r>
      <w:r w:rsidRPr="003673B7">
        <w:rPr>
          <w:i/>
          <w:iCs/>
          <w:lang w:val="fr-CA"/>
        </w:rPr>
        <w:t>injonction</w:t>
      </w:r>
      <w:r w:rsidRPr="003673B7">
        <w:rPr>
          <w:lang w:val="fr-CA"/>
        </w:rPr>
        <w:t>, Cowansville (Qc), Yvon Blais, 1998.</w:t>
      </w:r>
    </w:p>
    <w:p w:rsidR="00126030" w:rsidRPr="00126030" w:rsidRDefault="00126030" w:rsidP="00B820BA">
      <w:pPr>
        <w:pStyle w:val="SCCNormalDoubleSpacing"/>
        <w:spacing w:after="240" w:line="240" w:lineRule="auto"/>
        <w:ind w:left="540" w:hanging="540"/>
        <w:rPr>
          <w:lang w:val="fr-CA"/>
        </w:rPr>
      </w:pPr>
      <w:r w:rsidRPr="00126030">
        <w:rPr>
          <w:color w:val="000000"/>
          <w:lang w:val="fr-CA"/>
        </w:rPr>
        <w:t>Glenn, H. Patrick. « Droit international privé », dans</w:t>
      </w:r>
      <w:r>
        <w:rPr>
          <w:color w:val="000000"/>
          <w:lang w:val="fr-CA"/>
        </w:rPr>
        <w:t xml:space="preserve"> </w:t>
      </w:r>
      <w:r w:rsidRPr="00126030">
        <w:rPr>
          <w:i/>
          <w:iCs/>
          <w:color w:val="000000"/>
          <w:lang w:val="fr-CA"/>
        </w:rPr>
        <w:t>La réforme du Code civil</w:t>
      </w:r>
      <w:r w:rsidR="00627B5E">
        <w:rPr>
          <w:color w:val="000000"/>
          <w:lang w:val="fr-CA"/>
        </w:rPr>
        <w:t xml:space="preserve">, t. 3, </w:t>
      </w:r>
      <w:r w:rsidRPr="00126030">
        <w:rPr>
          <w:i/>
          <w:iCs/>
          <w:color w:val="000000"/>
          <w:lang w:val="fr-CA"/>
        </w:rPr>
        <w:t>Priorités et hypothèques, preuve et prescription, publicité des droits, droit international privé, dispositions transitoires</w:t>
      </w:r>
      <w:r w:rsidRPr="00126030">
        <w:rPr>
          <w:color w:val="000000"/>
          <w:lang w:val="fr-CA"/>
        </w:rPr>
        <w:t>. </w:t>
      </w:r>
      <w:r w:rsidRPr="00126030">
        <w:rPr>
          <w:rStyle w:val="solexhl"/>
          <w:rFonts w:eastAsiaTheme="majorEastAsia"/>
          <w:color w:val="000000"/>
          <w:lang w:val="fr-CA"/>
        </w:rPr>
        <w:t>Textes réunis par le Barreau du Québec</w:t>
      </w:r>
      <w:r w:rsidR="00627B5E">
        <w:rPr>
          <w:color w:val="000000"/>
          <w:lang w:val="fr-CA"/>
        </w:rPr>
        <w:t xml:space="preserve"> </w:t>
      </w:r>
      <w:r w:rsidRPr="00126030">
        <w:rPr>
          <w:color w:val="000000"/>
          <w:lang w:val="fr-CA"/>
        </w:rPr>
        <w:t>et la Chambre des notaires du Québec, Sainte</w:t>
      </w:r>
      <w:r w:rsidRPr="00126030">
        <w:rPr>
          <w:color w:val="000000"/>
          <w:lang w:val="fr-CA"/>
        </w:rPr>
        <w:noBreakHyphen/>
        <w:t>Foy (Qc), Presses de l</w:t>
      </w:r>
      <w:r w:rsidR="009F72D8">
        <w:rPr>
          <w:color w:val="000000"/>
          <w:lang w:val="fr-CA"/>
        </w:rPr>
        <w:t>’</w:t>
      </w:r>
      <w:r w:rsidRPr="00126030">
        <w:rPr>
          <w:color w:val="000000"/>
          <w:lang w:val="fr-CA"/>
        </w:rPr>
        <w:t>Université Laval, 1993, 669.</w:t>
      </w:r>
    </w:p>
    <w:p w:rsidR="00070DC3" w:rsidRPr="006144F5" w:rsidRDefault="00070DC3" w:rsidP="00070DC3">
      <w:pPr>
        <w:pStyle w:val="SCCNormalDoubleSpacing"/>
        <w:spacing w:after="240" w:line="240" w:lineRule="auto"/>
        <w:ind w:left="540" w:hanging="540"/>
        <w:rPr>
          <w:color w:val="000000"/>
          <w:lang w:val="fr-CA"/>
        </w:rPr>
      </w:pPr>
      <w:r w:rsidRPr="006144F5">
        <w:rPr>
          <w:rStyle w:val="solexhl"/>
          <w:rFonts w:eastAsiaTheme="majorEastAsia"/>
          <w:color w:val="000000"/>
          <w:lang w:val="fr-CA"/>
        </w:rPr>
        <w:t>Goldstein</w:t>
      </w:r>
      <w:r>
        <w:rPr>
          <w:color w:val="000000"/>
          <w:lang w:val="fr-CA"/>
        </w:rPr>
        <w:t xml:space="preserve">, </w:t>
      </w:r>
      <w:r w:rsidRPr="006144F5">
        <w:rPr>
          <w:rStyle w:val="solexhl"/>
          <w:rFonts w:eastAsiaTheme="majorEastAsia"/>
          <w:color w:val="000000"/>
          <w:lang w:val="fr-CA"/>
        </w:rPr>
        <w:t>Gérald</w:t>
      </w:r>
      <w:r>
        <w:rPr>
          <w:color w:val="000000"/>
          <w:lang w:val="fr-CA"/>
        </w:rPr>
        <w:t xml:space="preserve">. </w:t>
      </w:r>
      <w:r w:rsidRPr="002455AB">
        <w:rPr>
          <w:rStyle w:val="solexhl"/>
          <w:rFonts w:eastAsiaTheme="majorEastAsia"/>
          <w:i/>
          <w:color w:val="000000"/>
          <w:lang w:val="fr-CA"/>
        </w:rPr>
        <w:t>Droit</w:t>
      </w:r>
      <w:r>
        <w:rPr>
          <w:i/>
          <w:color w:val="000000"/>
          <w:lang w:val="fr-CA"/>
        </w:rPr>
        <w:t xml:space="preserve"> </w:t>
      </w:r>
      <w:r w:rsidRPr="002455AB">
        <w:rPr>
          <w:rStyle w:val="solexhl"/>
          <w:rFonts w:eastAsiaTheme="majorEastAsia"/>
          <w:i/>
          <w:color w:val="000000"/>
          <w:lang w:val="fr-CA"/>
        </w:rPr>
        <w:t>international</w:t>
      </w:r>
      <w:r>
        <w:rPr>
          <w:i/>
          <w:color w:val="000000"/>
          <w:lang w:val="fr-CA"/>
        </w:rPr>
        <w:t xml:space="preserve"> </w:t>
      </w:r>
      <w:r w:rsidRPr="002455AB">
        <w:rPr>
          <w:rStyle w:val="solexhl"/>
          <w:rFonts w:eastAsiaTheme="majorEastAsia"/>
          <w:i/>
          <w:color w:val="000000"/>
          <w:lang w:val="fr-CA"/>
        </w:rPr>
        <w:t>privé</w:t>
      </w:r>
      <w:r>
        <w:rPr>
          <w:color w:val="000000"/>
          <w:lang w:val="fr-CA"/>
        </w:rPr>
        <w:t xml:space="preserve">, vol. 2, </w:t>
      </w:r>
      <w:r>
        <w:rPr>
          <w:i/>
          <w:iCs/>
          <w:color w:val="000000"/>
          <w:lang w:val="fr-CA"/>
        </w:rPr>
        <w:t xml:space="preserve">Compétence </w:t>
      </w:r>
      <w:r w:rsidRPr="006144F5">
        <w:rPr>
          <w:rStyle w:val="solexhl"/>
          <w:rFonts w:eastAsiaTheme="majorEastAsia"/>
          <w:i/>
          <w:iCs/>
          <w:color w:val="000000"/>
          <w:lang w:val="fr-CA"/>
        </w:rPr>
        <w:t>internationale</w:t>
      </w:r>
      <w:r w:rsidRPr="006144F5">
        <w:rPr>
          <w:i/>
          <w:iCs/>
          <w:color w:val="000000"/>
          <w:lang w:val="fr-CA"/>
        </w:rPr>
        <w:t> des autorités québécoises et effets des décisions étrangères (Art. 3134 à 3168 C.c.Q.)</w:t>
      </w:r>
      <w:r>
        <w:rPr>
          <w:color w:val="000000"/>
          <w:lang w:val="fr-CA"/>
        </w:rPr>
        <w:t xml:space="preserve">, dans </w:t>
      </w:r>
      <w:r w:rsidRPr="006144F5">
        <w:rPr>
          <w:color w:val="000000"/>
          <w:lang w:val="fr-CA"/>
        </w:rPr>
        <w:t>Commentaires su</w:t>
      </w:r>
      <w:r>
        <w:rPr>
          <w:color w:val="000000"/>
          <w:lang w:val="fr-CA"/>
        </w:rPr>
        <w:t>r le Code civil du Québec (DCQ),</w:t>
      </w:r>
      <w:r w:rsidRPr="006144F5">
        <w:rPr>
          <w:color w:val="000000"/>
          <w:lang w:val="fr-CA"/>
        </w:rPr>
        <w:t xml:space="preserve"> Cowansville (Qc), Yvon Blais, 2012.</w:t>
      </w:r>
    </w:p>
    <w:p w:rsidR="00A2179F" w:rsidRDefault="00A2179F" w:rsidP="00B820BA">
      <w:pPr>
        <w:pStyle w:val="SCCNormalDoubleSpacing"/>
        <w:spacing w:after="240" w:line="240" w:lineRule="auto"/>
        <w:ind w:left="540" w:hanging="540"/>
        <w:rPr>
          <w:color w:val="000000"/>
          <w:lang w:val="fr-CA"/>
        </w:rPr>
      </w:pPr>
      <w:r>
        <w:rPr>
          <w:lang w:val="fr-CA"/>
        </w:rPr>
        <w:t>Goldstein, Gérald.</w:t>
      </w:r>
      <w:r w:rsidRPr="00AF4E14">
        <w:rPr>
          <w:lang w:val="fr-CA"/>
        </w:rPr>
        <w:t xml:space="preserve"> </w:t>
      </w:r>
      <w:r w:rsidRPr="00A2179F">
        <w:rPr>
          <w:lang w:val="fr-CA"/>
        </w:rPr>
        <w:t>« </w:t>
      </w:r>
      <w:r>
        <w:rPr>
          <w:lang w:val="fr-CA"/>
        </w:rPr>
        <w:t>La qualification en droit international privé selon la perspective de l</w:t>
      </w:r>
      <w:r w:rsidR="009F72D8">
        <w:rPr>
          <w:lang w:val="fr-CA"/>
        </w:rPr>
        <w:t>’</w:t>
      </w:r>
      <w:r>
        <w:rPr>
          <w:lang w:val="fr-CA"/>
        </w:rPr>
        <w:t>article 3078 C.c.Q.</w:t>
      </w:r>
      <w:r w:rsidRPr="00A2179F">
        <w:rPr>
          <w:lang w:val="fr-CA"/>
        </w:rPr>
        <w:t> »</w:t>
      </w:r>
      <w:r>
        <w:rPr>
          <w:lang w:val="fr-CA"/>
        </w:rPr>
        <w:t xml:space="preserve">, dans Sylvette Guillemard, </w:t>
      </w:r>
      <w:proofErr w:type="gramStart"/>
      <w:r>
        <w:rPr>
          <w:lang w:val="fr-CA"/>
        </w:rPr>
        <w:t>dir.,</w:t>
      </w:r>
      <w:proofErr w:type="gramEnd"/>
      <w:r>
        <w:rPr>
          <w:lang w:val="fr-CA"/>
        </w:rPr>
        <w:t xml:space="preserve"> </w:t>
      </w:r>
      <w:r>
        <w:rPr>
          <w:i/>
          <w:lang w:val="fr-CA"/>
        </w:rPr>
        <w:t>Mélanges en l</w:t>
      </w:r>
      <w:r w:rsidR="009F72D8">
        <w:rPr>
          <w:i/>
          <w:lang w:val="fr-CA"/>
        </w:rPr>
        <w:t>’</w:t>
      </w:r>
      <w:r>
        <w:rPr>
          <w:i/>
          <w:lang w:val="fr-CA"/>
        </w:rPr>
        <w:t xml:space="preserve">honneur </w:t>
      </w:r>
      <w:r>
        <w:rPr>
          <w:i/>
          <w:lang w:val="fr-CA"/>
        </w:rPr>
        <w:lastRenderedPageBreak/>
        <w:t>du professeur Alain Prujiner</w:t>
      </w:r>
      <w:r w:rsidR="000916C5">
        <w:rPr>
          <w:i/>
          <w:lang w:val="fr-CA"/>
        </w:rPr>
        <w:t> :</w:t>
      </w:r>
      <w:r>
        <w:rPr>
          <w:i/>
          <w:lang w:val="fr-CA"/>
        </w:rPr>
        <w:t xml:space="preserve"> Études de droit international privé et de droit du commerce international</w:t>
      </w:r>
      <w:r>
        <w:rPr>
          <w:lang w:val="fr-CA"/>
        </w:rPr>
        <w:t xml:space="preserve">, </w:t>
      </w:r>
      <w:r w:rsidRPr="00A2179F">
        <w:rPr>
          <w:color w:val="000000"/>
          <w:lang w:val="fr-CA"/>
        </w:rPr>
        <w:t>Cow</w:t>
      </w:r>
      <w:r>
        <w:rPr>
          <w:color w:val="000000"/>
          <w:lang w:val="fr-CA"/>
        </w:rPr>
        <w:t>ansville (Qc),</w:t>
      </w:r>
      <w:r w:rsidRPr="00A2179F">
        <w:rPr>
          <w:color w:val="000000"/>
          <w:lang w:val="fr-CA"/>
        </w:rPr>
        <w:t xml:space="preserve"> Yvon Blais, 2011, 195.</w:t>
      </w:r>
    </w:p>
    <w:p w:rsidR="003D354B" w:rsidRDefault="002D0F07" w:rsidP="003D354B">
      <w:pPr>
        <w:pStyle w:val="SCCNormalDoubleSpacing"/>
        <w:spacing w:after="240" w:line="240" w:lineRule="auto"/>
        <w:ind w:left="540" w:hanging="540"/>
        <w:rPr>
          <w:color w:val="000000"/>
          <w:lang w:val="fr-CA"/>
        </w:rPr>
      </w:pPr>
      <w:r w:rsidRPr="00F731C9">
        <w:rPr>
          <w:color w:val="000000"/>
          <w:lang w:val="de-DE"/>
        </w:rPr>
        <w:t>Goldst</w:t>
      </w:r>
      <w:r w:rsidR="00627B5E">
        <w:rPr>
          <w:color w:val="000000"/>
          <w:lang w:val="de-DE"/>
        </w:rPr>
        <w:t xml:space="preserve">ein, Gérald, et Ethel Groffier. </w:t>
      </w:r>
      <w:r w:rsidR="00627B5E">
        <w:rPr>
          <w:i/>
          <w:iCs/>
          <w:color w:val="000000"/>
          <w:lang w:val="fr-CA"/>
        </w:rPr>
        <w:t xml:space="preserve">Droit international </w:t>
      </w:r>
      <w:r w:rsidRPr="00D67073">
        <w:rPr>
          <w:i/>
          <w:iCs/>
          <w:color w:val="000000"/>
          <w:lang w:val="fr-CA"/>
        </w:rPr>
        <w:t>privé</w:t>
      </w:r>
      <w:r w:rsidRPr="00D67073">
        <w:rPr>
          <w:color w:val="000000"/>
          <w:lang w:val="fr-CA"/>
        </w:rPr>
        <w:t xml:space="preserve">, </w:t>
      </w:r>
      <w:r w:rsidR="00D67073" w:rsidRPr="00D67073">
        <w:rPr>
          <w:color w:val="000000"/>
          <w:lang w:val="fr-CA"/>
        </w:rPr>
        <w:t>t. I, </w:t>
      </w:r>
      <w:r w:rsidR="00D67073" w:rsidRPr="00D67073">
        <w:rPr>
          <w:i/>
          <w:iCs/>
          <w:color w:val="000000"/>
          <w:lang w:val="fr-CA"/>
        </w:rPr>
        <w:t>Théorie générale</w:t>
      </w:r>
      <w:r w:rsidR="00D67073" w:rsidRPr="00D67073">
        <w:rPr>
          <w:color w:val="000000"/>
          <w:lang w:val="fr-CA"/>
        </w:rPr>
        <w:t xml:space="preserve">, </w:t>
      </w:r>
      <w:r w:rsidRPr="00D67073">
        <w:rPr>
          <w:color w:val="000000"/>
          <w:lang w:val="fr-CA"/>
        </w:rPr>
        <w:t xml:space="preserve">par Paul-A. Crépeau, </w:t>
      </w:r>
      <w:proofErr w:type="gramStart"/>
      <w:r w:rsidRPr="00D67073">
        <w:rPr>
          <w:color w:val="000000"/>
          <w:lang w:val="fr-CA"/>
        </w:rPr>
        <w:t>dir.,</w:t>
      </w:r>
      <w:proofErr w:type="gramEnd"/>
      <w:r w:rsidRPr="00D67073">
        <w:rPr>
          <w:color w:val="000000"/>
          <w:lang w:val="fr-CA"/>
        </w:rPr>
        <w:t xml:space="preserve"> Cowansville (Qc), Yvon Blais, 1998.</w:t>
      </w:r>
    </w:p>
    <w:p w:rsidR="003B1F28" w:rsidRPr="002D0F07" w:rsidRDefault="003B1F28" w:rsidP="003B1F28">
      <w:pPr>
        <w:pStyle w:val="SCCNormalDoubleSpacing"/>
        <w:spacing w:after="240" w:line="240" w:lineRule="auto"/>
        <w:ind w:left="540" w:hanging="540"/>
        <w:rPr>
          <w:color w:val="000000"/>
          <w:lang w:val="fr-CA"/>
        </w:rPr>
      </w:pPr>
      <w:r w:rsidRPr="00F731C9">
        <w:rPr>
          <w:color w:val="000000"/>
          <w:lang w:val="de-DE"/>
        </w:rPr>
        <w:t>Goldst</w:t>
      </w:r>
      <w:r w:rsidR="00627B5E">
        <w:rPr>
          <w:color w:val="000000"/>
          <w:lang w:val="de-DE"/>
        </w:rPr>
        <w:t xml:space="preserve">ein, Gérald, et Ethel Groffier. </w:t>
      </w:r>
      <w:r w:rsidR="00627B5E">
        <w:rPr>
          <w:i/>
          <w:iCs/>
          <w:color w:val="000000"/>
          <w:lang w:val="fr-CA"/>
        </w:rPr>
        <w:t xml:space="preserve">Droit international </w:t>
      </w:r>
      <w:r w:rsidRPr="00D67073">
        <w:rPr>
          <w:i/>
          <w:iCs/>
          <w:color w:val="000000"/>
          <w:lang w:val="fr-CA"/>
        </w:rPr>
        <w:t>privé</w:t>
      </w:r>
      <w:r w:rsidRPr="00D67073">
        <w:rPr>
          <w:color w:val="000000"/>
          <w:lang w:val="fr-CA"/>
        </w:rPr>
        <w:t>, t. I</w:t>
      </w:r>
      <w:r w:rsidR="00E620AA">
        <w:rPr>
          <w:color w:val="000000"/>
          <w:lang w:val="fr-CA"/>
        </w:rPr>
        <w:t>I</w:t>
      </w:r>
      <w:r w:rsidR="00627B5E">
        <w:rPr>
          <w:color w:val="000000"/>
          <w:lang w:val="fr-CA"/>
        </w:rPr>
        <w:t xml:space="preserve">, </w:t>
      </w:r>
      <w:r>
        <w:rPr>
          <w:i/>
          <w:iCs/>
          <w:color w:val="000000"/>
          <w:lang w:val="fr-CA"/>
        </w:rPr>
        <w:t>Règles spécifiques</w:t>
      </w:r>
      <w:r w:rsidR="00BC247A">
        <w:rPr>
          <w:color w:val="000000"/>
          <w:lang w:val="fr-CA"/>
        </w:rPr>
        <w:t>, par Paul</w:t>
      </w:r>
      <w:r w:rsidR="00BC247A">
        <w:rPr>
          <w:color w:val="000000"/>
          <w:lang w:val="fr-CA"/>
        </w:rPr>
        <w:noBreakHyphen/>
      </w:r>
      <w:r w:rsidRPr="00D67073">
        <w:rPr>
          <w:color w:val="000000"/>
          <w:lang w:val="fr-CA"/>
        </w:rPr>
        <w:t xml:space="preserve">A. Crépeau, </w:t>
      </w:r>
      <w:proofErr w:type="gramStart"/>
      <w:r w:rsidRPr="00D67073">
        <w:rPr>
          <w:color w:val="000000"/>
          <w:lang w:val="fr-CA"/>
        </w:rPr>
        <w:t>dir.,</w:t>
      </w:r>
      <w:proofErr w:type="gramEnd"/>
      <w:r w:rsidRPr="00D67073">
        <w:rPr>
          <w:color w:val="000000"/>
          <w:lang w:val="fr-CA"/>
        </w:rPr>
        <w:t xml:space="preserve"> Cowansville (Qc), Yvon </w:t>
      </w:r>
      <w:r>
        <w:rPr>
          <w:color w:val="000000"/>
          <w:lang w:val="fr-CA"/>
        </w:rPr>
        <w:t>Blais, 2003</w:t>
      </w:r>
      <w:r w:rsidRPr="00D67073">
        <w:rPr>
          <w:color w:val="000000"/>
          <w:lang w:val="fr-CA"/>
        </w:rPr>
        <w:t>.</w:t>
      </w:r>
    </w:p>
    <w:p w:rsidR="00CA4392" w:rsidRDefault="00E9229F" w:rsidP="00B820BA">
      <w:pPr>
        <w:pStyle w:val="SCCNormalDoubleSpacing"/>
        <w:spacing w:after="240" w:line="240" w:lineRule="auto"/>
        <w:ind w:left="540" w:hanging="540"/>
        <w:rPr>
          <w:lang w:val="fr-CA"/>
        </w:rPr>
      </w:pPr>
      <w:r w:rsidRPr="00E9229F">
        <w:rPr>
          <w:lang w:val="fr-CA"/>
        </w:rPr>
        <w:t xml:space="preserve">Grenier, Danielle, et Marie Paré. </w:t>
      </w:r>
      <w:r w:rsidRPr="00E9229F">
        <w:rPr>
          <w:i/>
          <w:lang w:val="fr-CA"/>
        </w:rPr>
        <w:t>La requête en jugement déclaratoire en droit public québécois</w:t>
      </w:r>
      <w:r w:rsidRPr="00E9229F">
        <w:rPr>
          <w:lang w:val="fr-CA"/>
        </w:rPr>
        <w:t>, 2</w:t>
      </w:r>
      <w:r w:rsidRPr="00E9229F">
        <w:rPr>
          <w:vertAlign w:val="superscript"/>
          <w:lang w:val="fr-CA"/>
        </w:rPr>
        <w:t>e</w:t>
      </w:r>
      <w:r w:rsidRPr="00E9229F">
        <w:rPr>
          <w:lang w:val="fr-CA"/>
        </w:rPr>
        <w:t xml:space="preserve"> éd., Cowansville (Qc), Yvon Blais, 1999.</w:t>
      </w:r>
    </w:p>
    <w:p w:rsidR="00070DC3" w:rsidRDefault="00070DC3" w:rsidP="00070DC3">
      <w:pPr>
        <w:pStyle w:val="SCCNormalDoubleSpacing"/>
        <w:spacing w:after="240" w:line="240" w:lineRule="auto"/>
        <w:ind w:left="540" w:hanging="540"/>
        <w:rPr>
          <w:lang w:val="fr-CA"/>
        </w:rPr>
      </w:pPr>
      <w:r>
        <w:rPr>
          <w:lang w:val="fr-CA"/>
        </w:rPr>
        <w:t xml:space="preserve">Groffier, Ethel. </w:t>
      </w:r>
      <w:r>
        <w:rPr>
          <w:i/>
          <w:lang w:val="fr-CA"/>
        </w:rPr>
        <w:t>La réforme du droit international privé québécois : Supplément au Précis de droit international privé québécois</w:t>
      </w:r>
      <w:r>
        <w:rPr>
          <w:lang w:val="fr-CA"/>
        </w:rPr>
        <w:t xml:space="preserve">, </w:t>
      </w:r>
      <w:r w:rsidRPr="00987592">
        <w:rPr>
          <w:lang w:val="fr-CA"/>
        </w:rPr>
        <w:t>Cowansville (Qc), Yvon Blais, 199</w:t>
      </w:r>
      <w:r>
        <w:rPr>
          <w:lang w:val="fr-CA"/>
        </w:rPr>
        <w:t>3.</w:t>
      </w:r>
    </w:p>
    <w:p w:rsidR="00AD24F1" w:rsidRDefault="00987592" w:rsidP="00B820BA">
      <w:pPr>
        <w:pStyle w:val="SCCNormalDoubleSpacing"/>
        <w:spacing w:after="240" w:line="240" w:lineRule="auto"/>
        <w:ind w:left="540" w:hanging="540"/>
        <w:rPr>
          <w:lang w:val="fr-CA"/>
        </w:rPr>
      </w:pPr>
      <w:r w:rsidRPr="00987592">
        <w:rPr>
          <w:lang w:val="fr-CA"/>
        </w:rPr>
        <w:t xml:space="preserve">Groffier, Ethel. </w:t>
      </w:r>
      <w:r w:rsidRPr="00987592">
        <w:rPr>
          <w:i/>
          <w:lang w:val="fr-CA"/>
        </w:rPr>
        <w:t>Précis de droit international privé québécois</w:t>
      </w:r>
      <w:r w:rsidRPr="00987592">
        <w:rPr>
          <w:lang w:val="fr-CA"/>
        </w:rPr>
        <w:t>, 4</w:t>
      </w:r>
      <w:r w:rsidRPr="00987592">
        <w:rPr>
          <w:vertAlign w:val="superscript"/>
          <w:lang w:val="fr-CA"/>
        </w:rPr>
        <w:t>e</w:t>
      </w:r>
      <w:r w:rsidRPr="00987592">
        <w:rPr>
          <w:lang w:val="fr-CA"/>
        </w:rPr>
        <w:t xml:space="preserve"> éd., Cowansville (Qc), Yvon Blais, 1990.</w:t>
      </w:r>
    </w:p>
    <w:p w:rsidR="005C038F" w:rsidRPr="005C038F" w:rsidRDefault="005C038F" w:rsidP="005C038F">
      <w:pPr>
        <w:pStyle w:val="SCCNormalDoubleSpacing"/>
        <w:spacing w:after="240" w:line="240" w:lineRule="auto"/>
        <w:ind w:left="540" w:hanging="540"/>
      </w:pPr>
      <w:r w:rsidRPr="005C038F">
        <w:t xml:space="preserve">Hamilton, Robert. </w:t>
      </w:r>
      <w:r w:rsidRPr="005C038F">
        <w:rPr>
          <w:lang w:val="en-US"/>
        </w:rPr>
        <w:t>« </w:t>
      </w:r>
      <w:r w:rsidRPr="005C038F">
        <w:t xml:space="preserve">Private Property and Aboriginal </w:t>
      </w:r>
      <w:proofErr w:type="gramStart"/>
      <w:r w:rsidRPr="005C038F">
        <w:t>Title</w:t>
      </w:r>
      <w:r w:rsidRPr="005C038F">
        <w:rPr>
          <w:lang w:val="en-US"/>
        </w:rPr>
        <w:t> </w:t>
      </w:r>
      <w:r w:rsidRPr="005C038F">
        <w:t>:</w:t>
      </w:r>
      <w:proofErr w:type="gramEnd"/>
      <w:r w:rsidRPr="005C038F">
        <w:t xml:space="preserve"> What is the Role of Equity in Mediating Conflicting Claims?</w:t>
      </w:r>
      <w:r w:rsidRPr="005C038F">
        <w:rPr>
          <w:lang w:val="en-US"/>
        </w:rPr>
        <w:t> »</w:t>
      </w:r>
      <w:r w:rsidRPr="005C038F">
        <w:t xml:space="preserve"> (2018), 51 </w:t>
      </w:r>
      <w:r w:rsidRPr="005C038F">
        <w:rPr>
          <w:i/>
        </w:rPr>
        <w:t>U.B.C. L. Rev.</w:t>
      </w:r>
      <w:r w:rsidRPr="005C038F">
        <w:t xml:space="preserve"> 347.</w:t>
      </w:r>
    </w:p>
    <w:p w:rsidR="00976D72" w:rsidRDefault="00976D72" w:rsidP="00B820BA">
      <w:pPr>
        <w:pStyle w:val="SCCNormalDoubleSpacing"/>
        <w:spacing w:after="240" w:line="240" w:lineRule="auto"/>
        <w:ind w:left="540" w:hanging="540"/>
        <w:rPr>
          <w:color w:val="000000"/>
        </w:rPr>
      </w:pPr>
      <w:r w:rsidRPr="001759C6">
        <w:rPr>
          <w:rStyle w:val="solexhl"/>
          <w:rFonts w:eastAsiaTheme="majorEastAsia"/>
          <w:color w:val="000000"/>
          <w:lang w:val="en-US"/>
        </w:rPr>
        <w:t>Hogg</w:t>
      </w:r>
      <w:r w:rsidRPr="001759C6">
        <w:rPr>
          <w:color w:val="000000"/>
          <w:lang w:val="en-US"/>
        </w:rPr>
        <w:t>, Peter W. </w:t>
      </w:r>
      <w:r w:rsidRPr="001759C6">
        <w:rPr>
          <w:rStyle w:val="solexhl"/>
          <w:rFonts w:eastAsiaTheme="majorEastAsia"/>
          <w:i/>
          <w:iCs/>
          <w:color w:val="000000"/>
          <w:lang w:val="en-US"/>
        </w:rPr>
        <w:t>Constitutional Law of Canada</w:t>
      </w:r>
      <w:r w:rsidRPr="001759C6">
        <w:rPr>
          <w:color w:val="000000"/>
          <w:lang w:val="en-US"/>
        </w:rPr>
        <w:t>, vol. 1, 5th ed., Supp., Scarborough (Ont.)</w:t>
      </w:r>
      <w:r>
        <w:rPr>
          <w:color w:val="000000"/>
        </w:rPr>
        <w:t xml:space="preserve">, </w:t>
      </w:r>
      <w:r w:rsidRPr="002A0768">
        <w:rPr>
          <w:color w:val="000000"/>
        </w:rPr>
        <w:t>Thomson/Carswell, 2007 (loose</w:t>
      </w:r>
      <w:r w:rsidRPr="002A0768">
        <w:rPr>
          <w:color w:val="000000"/>
        </w:rPr>
        <w:noBreakHyphen/>
      </w:r>
      <w:r>
        <w:rPr>
          <w:color w:val="000000"/>
        </w:rPr>
        <w:t>leaf updated 2018, release 1).</w:t>
      </w:r>
    </w:p>
    <w:p w:rsidR="00E67175" w:rsidRPr="00E67175" w:rsidRDefault="00E67175" w:rsidP="00E67175">
      <w:pPr>
        <w:pStyle w:val="SCCNormalDoubleSpacing"/>
        <w:spacing w:after="240" w:line="240" w:lineRule="auto"/>
        <w:ind w:left="540" w:hanging="540"/>
        <w:rPr>
          <w:color w:val="000000"/>
          <w:lang w:val="en-US"/>
        </w:rPr>
      </w:pPr>
      <w:r w:rsidRPr="00E67175">
        <w:rPr>
          <w:color w:val="000000"/>
          <w:lang w:val="en-US"/>
        </w:rPr>
        <w:t>Iacobucci, Frank. « What Is Access to Justice i</w:t>
      </w:r>
      <w:r w:rsidR="00BC247A">
        <w:rPr>
          <w:color w:val="000000"/>
          <w:lang w:val="en-US"/>
        </w:rPr>
        <w:t>n the Context of Class Actions?</w:t>
      </w:r>
      <w:r w:rsidRPr="00E67175">
        <w:rPr>
          <w:color w:val="000000"/>
          <w:lang w:val="en-US"/>
        </w:rPr>
        <w:t xml:space="preserve"> », in Jasminka Kalajdzic, ed., </w:t>
      </w:r>
      <w:r w:rsidRPr="00E67175">
        <w:rPr>
          <w:i/>
          <w:color w:val="000000"/>
          <w:lang w:val="en-US"/>
        </w:rPr>
        <w:t xml:space="preserve">Accessing </w:t>
      </w:r>
      <w:proofErr w:type="gramStart"/>
      <w:r w:rsidRPr="00E67175">
        <w:rPr>
          <w:i/>
          <w:color w:val="000000"/>
          <w:lang w:val="en-US"/>
        </w:rPr>
        <w:t>Justice</w:t>
      </w:r>
      <w:r w:rsidRPr="00E67175">
        <w:rPr>
          <w:color w:val="000000"/>
          <w:lang w:val="en-US"/>
        </w:rPr>
        <w:t> </w:t>
      </w:r>
      <w:r w:rsidRPr="00E67175">
        <w:rPr>
          <w:i/>
          <w:color w:val="000000"/>
          <w:lang w:val="en-US"/>
        </w:rPr>
        <w:t>:</w:t>
      </w:r>
      <w:proofErr w:type="gramEnd"/>
      <w:r w:rsidRPr="00E67175">
        <w:rPr>
          <w:i/>
          <w:color w:val="000000"/>
          <w:lang w:val="en-US"/>
        </w:rPr>
        <w:t xml:space="preserve"> Appraising Class Actions Ten Years After Dutton, Hollick &amp; Rumley</w:t>
      </w:r>
      <w:r w:rsidRPr="00E67175">
        <w:rPr>
          <w:color w:val="000000"/>
        </w:rPr>
        <w:t xml:space="preserve">, </w:t>
      </w:r>
      <w:r w:rsidRPr="00E67175">
        <w:rPr>
          <w:color w:val="000000"/>
          <w:lang w:val="en-US"/>
        </w:rPr>
        <w:t xml:space="preserve">Markham </w:t>
      </w:r>
      <w:r w:rsidRPr="00E67175">
        <w:rPr>
          <w:color w:val="000000"/>
        </w:rPr>
        <w:t xml:space="preserve">(Ont.), </w:t>
      </w:r>
      <w:r w:rsidRPr="00E67175">
        <w:rPr>
          <w:color w:val="000000"/>
          <w:lang w:val="en-US"/>
        </w:rPr>
        <w:t>LexisNexis, 2011, 17.</w:t>
      </w:r>
    </w:p>
    <w:p w:rsidR="00EC2DBD" w:rsidRPr="00976D72" w:rsidRDefault="00EC2DBD" w:rsidP="00EC2DBD">
      <w:pPr>
        <w:pStyle w:val="SCCNormalDoubleSpacing"/>
        <w:spacing w:after="240" w:line="240" w:lineRule="auto"/>
        <w:ind w:left="540" w:hanging="540"/>
        <w:rPr>
          <w:lang w:val="en-US"/>
        </w:rPr>
      </w:pPr>
      <w:r w:rsidRPr="00EC2DBD">
        <w:rPr>
          <w:lang w:val="en-US"/>
        </w:rPr>
        <w:t xml:space="preserve">Isaac, Thomas. </w:t>
      </w:r>
      <w:r w:rsidRPr="00EC2DBD">
        <w:rPr>
          <w:i/>
          <w:lang w:val="en-US"/>
        </w:rPr>
        <w:t>Aboriginal Law</w:t>
      </w:r>
      <w:r w:rsidRPr="00EC2DBD">
        <w:rPr>
          <w:lang w:val="en-US"/>
        </w:rPr>
        <w:t>, 5th ed., Toronto, Thomson Reuters, 2016.</w:t>
      </w:r>
    </w:p>
    <w:p w:rsidR="00B60F88" w:rsidRPr="001759C6" w:rsidRDefault="00B60F88" w:rsidP="00B820BA">
      <w:pPr>
        <w:pStyle w:val="SCCNormalDoubleSpacing"/>
        <w:spacing w:after="240" w:line="240" w:lineRule="auto"/>
        <w:ind w:left="540" w:hanging="540"/>
        <w:rPr>
          <w:color w:val="000000"/>
          <w:szCs w:val="24"/>
          <w:lang w:val="en-US" w:eastAsia="en-US"/>
        </w:rPr>
      </w:pPr>
      <w:r w:rsidRPr="008C7C32">
        <w:rPr>
          <w:lang w:val="en-US"/>
        </w:rPr>
        <w:t>Jacob</w:t>
      </w:r>
      <w:r w:rsidRPr="00B60F88">
        <w:rPr>
          <w:color w:val="000000"/>
          <w:szCs w:val="24"/>
          <w:lang w:val="en-US" w:eastAsia="en-US"/>
        </w:rPr>
        <w:t>, I. H. « The Inherent Jurisdiction of the Court » (1970), 23 </w:t>
      </w:r>
      <w:r w:rsidRPr="00B60F88">
        <w:rPr>
          <w:i/>
          <w:iCs/>
          <w:color w:val="000000"/>
          <w:szCs w:val="24"/>
          <w:lang w:val="en-US" w:eastAsia="en-US"/>
        </w:rPr>
        <w:t xml:space="preserve">Curr. </w:t>
      </w:r>
      <w:r w:rsidRPr="001759C6">
        <w:rPr>
          <w:i/>
          <w:iCs/>
          <w:color w:val="000000"/>
          <w:szCs w:val="24"/>
          <w:lang w:val="en-US" w:eastAsia="en-US"/>
        </w:rPr>
        <w:t>Legal Probs.</w:t>
      </w:r>
      <w:r w:rsidRPr="001759C6">
        <w:rPr>
          <w:color w:val="000000"/>
          <w:szCs w:val="24"/>
          <w:lang w:val="en-US" w:eastAsia="en-US"/>
        </w:rPr>
        <w:t> 23.</w:t>
      </w:r>
    </w:p>
    <w:p w:rsidR="00B27BE5" w:rsidRPr="00B27BE5" w:rsidRDefault="00627B5E" w:rsidP="00B27BE5">
      <w:pPr>
        <w:pStyle w:val="SCCNormalDoubleSpacing"/>
        <w:spacing w:after="240" w:line="240" w:lineRule="auto"/>
        <w:ind w:left="540" w:hanging="540"/>
        <w:rPr>
          <w:color w:val="000000"/>
          <w:szCs w:val="24"/>
          <w:lang w:val="en-US" w:eastAsia="en-US"/>
        </w:rPr>
      </w:pPr>
      <w:r>
        <w:rPr>
          <w:color w:val="000000"/>
          <w:szCs w:val="24"/>
          <w:lang w:val="en-US" w:eastAsia="en-US"/>
        </w:rPr>
        <w:t>Johnson, Walter </w:t>
      </w:r>
      <w:r w:rsidR="00B27BE5" w:rsidRPr="00B27BE5">
        <w:rPr>
          <w:color w:val="000000"/>
          <w:szCs w:val="24"/>
          <w:lang w:val="en-US" w:eastAsia="en-US"/>
        </w:rPr>
        <w:t xml:space="preserve">S. </w:t>
      </w:r>
      <w:r w:rsidR="00B27BE5" w:rsidRPr="00B27BE5">
        <w:rPr>
          <w:i/>
          <w:color w:val="000000"/>
          <w:szCs w:val="24"/>
          <w:lang w:val="en-US" w:eastAsia="en-US"/>
        </w:rPr>
        <w:t>Conflict of Laws</w:t>
      </w:r>
      <w:r w:rsidR="00B27BE5" w:rsidRPr="00B27BE5">
        <w:rPr>
          <w:color w:val="000000"/>
          <w:szCs w:val="24"/>
          <w:lang w:val="en-US" w:eastAsia="en-US"/>
        </w:rPr>
        <w:t>, 2nd ed., Montréal, Wilson &amp; Lafleur, 1962.</w:t>
      </w:r>
    </w:p>
    <w:p w:rsidR="008B2094" w:rsidRDefault="008B2094" w:rsidP="00B820BA">
      <w:pPr>
        <w:pStyle w:val="SCCNormalDoubleSpacing"/>
        <w:spacing w:after="240" w:line="240" w:lineRule="auto"/>
        <w:ind w:left="540" w:hanging="540"/>
        <w:rPr>
          <w:color w:val="000000"/>
          <w:lang w:val="fr-CA"/>
        </w:rPr>
      </w:pPr>
      <w:r w:rsidRPr="008B2094">
        <w:rPr>
          <w:rStyle w:val="solexhl"/>
          <w:rFonts w:eastAsiaTheme="majorEastAsia"/>
          <w:color w:val="000000"/>
          <w:lang w:val="fr-CA"/>
        </w:rPr>
        <w:t>Lafond</w:t>
      </w:r>
      <w:r w:rsidR="00627B5E">
        <w:rPr>
          <w:color w:val="000000"/>
          <w:lang w:val="fr-CA"/>
        </w:rPr>
        <w:t xml:space="preserve">, </w:t>
      </w:r>
      <w:r w:rsidRPr="008B2094">
        <w:rPr>
          <w:rStyle w:val="solexhl"/>
          <w:rFonts w:eastAsiaTheme="majorEastAsia"/>
          <w:color w:val="000000"/>
          <w:lang w:val="fr-CA"/>
        </w:rPr>
        <w:t>Pierre</w:t>
      </w:r>
      <w:r w:rsidRPr="008B2094">
        <w:rPr>
          <w:rStyle w:val="solexhl"/>
          <w:rFonts w:eastAsiaTheme="majorEastAsia"/>
          <w:color w:val="000000"/>
          <w:lang w:val="fr-CA"/>
        </w:rPr>
        <w:noBreakHyphen/>
        <w:t>Claude</w:t>
      </w:r>
      <w:r w:rsidRPr="008B2094">
        <w:rPr>
          <w:color w:val="000000"/>
          <w:lang w:val="fr-CA"/>
        </w:rPr>
        <w:t>. </w:t>
      </w:r>
      <w:r w:rsidRPr="008B2094">
        <w:rPr>
          <w:rStyle w:val="solexhl"/>
          <w:rFonts w:eastAsiaTheme="majorEastAsia"/>
          <w:i/>
          <w:iCs/>
          <w:color w:val="000000"/>
          <w:lang w:val="fr-CA"/>
        </w:rPr>
        <w:t>Précis</w:t>
      </w:r>
      <w:r w:rsidRPr="008B2094">
        <w:rPr>
          <w:i/>
          <w:iCs/>
          <w:color w:val="000000"/>
          <w:lang w:val="fr-CA"/>
        </w:rPr>
        <w:t> </w:t>
      </w:r>
      <w:r w:rsidRPr="008B2094">
        <w:rPr>
          <w:rStyle w:val="solexhl"/>
          <w:rFonts w:eastAsiaTheme="majorEastAsia"/>
          <w:i/>
          <w:iCs/>
          <w:color w:val="000000"/>
          <w:lang w:val="fr-CA"/>
        </w:rPr>
        <w:t>de</w:t>
      </w:r>
      <w:r w:rsidRPr="008B2094">
        <w:rPr>
          <w:i/>
          <w:iCs/>
          <w:color w:val="000000"/>
          <w:lang w:val="fr-CA"/>
        </w:rPr>
        <w:t> </w:t>
      </w:r>
      <w:r w:rsidRPr="008B2094">
        <w:rPr>
          <w:rStyle w:val="solexhl"/>
          <w:rFonts w:eastAsiaTheme="majorEastAsia"/>
          <w:i/>
          <w:iCs/>
          <w:color w:val="000000"/>
          <w:lang w:val="fr-CA"/>
        </w:rPr>
        <w:t>droit</w:t>
      </w:r>
      <w:r w:rsidRPr="008B2094">
        <w:rPr>
          <w:i/>
          <w:iCs/>
          <w:color w:val="000000"/>
          <w:lang w:val="fr-CA"/>
        </w:rPr>
        <w:t> </w:t>
      </w:r>
      <w:r w:rsidRPr="008B2094">
        <w:rPr>
          <w:rStyle w:val="solexhl"/>
          <w:rFonts w:eastAsiaTheme="majorEastAsia"/>
          <w:i/>
          <w:iCs/>
          <w:color w:val="000000"/>
          <w:lang w:val="fr-CA"/>
        </w:rPr>
        <w:t>des</w:t>
      </w:r>
      <w:r w:rsidRPr="008B2094">
        <w:rPr>
          <w:i/>
          <w:iCs/>
          <w:color w:val="000000"/>
          <w:lang w:val="fr-CA"/>
        </w:rPr>
        <w:t> </w:t>
      </w:r>
      <w:r w:rsidRPr="008B2094">
        <w:rPr>
          <w:rStyle w:val="solexhl"/>
          <w:rFonts w:eastAsiaTheme="majorEastAsia"/>
          <w:i/>
          <w:iCs/>
          <w:color w:val="000000"/>
          <w:lang w:val="fr-CA"/>
        </w:rPr>
        <w:t>biens</w:t>
      </w:r>
      <w:r w:rsidRPr="008B2094">
        <w:rPr>
          <w:color w:val="000000"/>
          <w:lang w:val="fr-CA"/>
        </w:rPr>
        <w:t>, 2</w:t>
      </w:r>
      <w:r w:rsidRPr="008B2094">
        <w:rPr>
          <w:color w:val="000000"/>
          <w:vertAlign w:val="superscript"/>
          <w:lang w:val="fr-CA"/>
        </w:rPr>
        <w:t>e</w:t>
      </w:r>
      <w:r w:rsidRPr="008B2094">
        <w:rPr>
          <w:color w:val="000000"/>
          <w:lang w:val="fr-CA"/>
        </w:rPr>
        <w:t> éd., Montréal, Thémis, 2007.</w:t>
      </w:r>
    </w:p>
    <w:p w:rsidR="00E92D56" w:rsidRDefault="00BC247A" w:rsidP="00E92D56">
      <w:pPr>
        <w:pStyle w:val="sccnormaldoublespacing0"/>
        <w:spacing w:before="0" w:beforeAutospacing="0" w:after="240" w:afterAutospacing="0"/>
        <w:ind w:left="547" w:hanging="547"/>
        <w:jc w:val="both"/>
        <w:rPr>
          <w:color w:val="000000"/>
          <w:lang w:val="fr-CA"/>
        </w:rPr>
      </w:pPr>
      <w:r>
        <w:rPr>
          <w:color w:val="000000"/>
          <w:lang w:val="fr-CA"/>
        </w:rPr>
        <w:t>Lamontagne, Denys</w:t>
      </w:r>
      <w:r>
        <w:rPr>
          <w:color w:val="000000"/>
          <w:lang w:val="fr-CA"/>
        </w:rPr>
        <w:noBreakHyphen/>
      </w:r>
      <w:r w:rsidR="00E92D56">
        <w:rPr>
          <w:color w:val="000000"/>
          <w:lang w:val="fr-CA"/>
        </w:rPr>
        <w:t xml:space="preserve">Claude. </w:t>
      </w:r>
      <w:r w:rsidR="00E92D56">
        <w:rPr>
          <w:i/>
          <w:color w:val="000000"/>
          <w:lang w:val="fr-CA"/>
        </w:rPr>
        <w:t>Biens et propriété</w:t>
      </w:r>
      <w:r w:rsidR="00E92D56">
        <w:rPr>
          <w:color w:val="000000"/>
          <w:lang w:val="fr-CA"/>
        </w:rPr>
        <w:t>, 8</w:t>
      </w:r>
      <w:r w:rsidR="00E92D56" w:rsidRPr="00F41F29">
        <w:rPr>
          <w:color w:val="000000"/>
          <w:vertAlign w:val="superscript"/>
          <w:lang w:val="fr-CA"/>
        </w:rPr>
        <w:t>e</w:t>
      </w:r>
      <w:r w:rsidR="00E92D56">
        <w:rPr>
          <w:color w:val="000000"/>
          <w:lang w:val="fr-CA"/>
        </w:rPr>
        <w:t xml:space="preserve"> éd.,</w:t>
      </w:r>
      <w:r w:rsidR="00E92D56" w:rsidRPr="00F41F29">
        <w:rPr>
          <w:color w:val="000000"/>
          <w:lang w:val="fr-CA"/>
        </w:rPr>
        <w:t xml:space="preserve"> </w:t>
      </w:r>
      <w:r w:rsidR="00E92D56">
        <w:rPr>
          <w:color w:val="000000"/>
          <w:lang w:val="fr-CA"/>
        </w:rPr>
        <w:t>Cowansville (Qc),</w:t>
      </w:r>
      <w:r w:rsidR="00E92D56" w:rsidRPr="00E92D56">
        <w:rPr>
          <w:color w:val="000000"/>
          <w:lang w:val="fr-CA"/>
        </w:rPr>
        <w:t xml:space="preserve"> Yvon Blais, 2018.</w:t>
      </w:r>
    </w:p>
    <w:p w:rsidR="00FE6511" w:rsidRPr="00FE6511" w:rsidRDefault="00FE6511" w:rsidP="00FE6511">
      <w:pPr>
        <w:pStyle w:val="sccnormaldoublespacing0"/>
        <w:spacing w:after="240"/>
        <w:ind w:left="547" w:hanging="547"/>
        <w:jc w:val="both"/>
        <w:rPr>
          <w:color w:val="000000"/>
        </w:rPr>
      </w:pPr>
      <w:r w:rsidRPr="00FE6511">
        <w:rPr>
          <w:color w:val="000000"/>
        </w:rPr>
        <w:t>Lange, Donald</w:t>
      </w:r>
      <w:r w:rsidR="00627B5E">
        <w:rPr>
          <w:color w:val="000000"/>
        </w:rPr>
        <w:t> </w:t>
      </w:r>
      <w:r w:rsidRPr="00FE6511">
        <w:rPr>
          <w:color w:val="000000"/>
        </w:rPr>
        <w:t xml:space="preserve">J. </w:t>
      </w:r>
      <w:r w:rsidRPr="00FE6511">
        <w:rPr>
          <w:i/>
          <w:color w:val="000000"/>
        </w:rPr>
        <w:t>The Doctrine of Res Judicata in Canada</w:t>
      </w:r>
      <w:r w:rsidRPr="00FE6511">
        <w:rPr>
          <w:color w:val="000000"/>
        </w:rPr>
        <w:t>, 4th ed., Markham (Ont.), LexisNexis, 2015.</w:t>
      </w:r>
    </w:p>
    <w:p w:rsidR="008A3867" w:rsidRPr="009F72D8" w:rsidRDefault="008A3867" w:rsidP="008A3867">
      <w:pPr>
        <w:pStyle w:val="SCCNormalDoubleSpacing"/>
        <w:spacing w:after="240" w:line="240" w:lineRule="auto"/>
        <w:ind w:left="540" w:hanging="540"/>
        <w:rPr>
          <w:lang w:val="fr-CA"/>
        </w:rPr>
      </w:pPr>
      <w:r w:rsidRPr="00FF4737">
        <w:rPr>
          <w:lang w:val="fr-CA"/>
        </w:rPr>
        <w:t>Lemieux, Denis. « L</w:t>
      </w:r>
      <w:r w:rsidR="009F72D8">
        <w:rPr>
          <w:lang w:val="fr-CA"/>
        </w:rPr>
        <w:t>’</w:t>
      </w:r>
      <w:r w:rsidRPr="00FF4737">
        <w:rPr>
          <w:lang w:val="fr-CA"/>
        </w:rPr>
        <w:t xml:space="preserve">impact du </w:t>
      </w:r>
      <w:r w:rsidRPr="00FF4737">
        <w:rPr>
          <w:i/>
          <w:iCs/>
          <w:lang w:val="fr-CA"/>
        </w:rPr>
        <w:t>Code civil du Québec</w:t>
      </w:r>
      <w:r w:rsidRPr="00FF4737">
        <w:rPr>
          <w:lang w:val="fr-CA"/>
        </w:rPr>
        <w:t xml:space="preserve"> en droit administratif » (1994), 15 </w:t>
      </w:r>
      <w:r w:rsidRPr="0046549F">
        <w:rPr>
          <w:i/>
          <w:lang w:val="fr-CA"/>
        </w:rPr>
        <w:t>Admin. L.R.</w:t>
      </w:r>
      <w:r w:rsidRPr="009F72D8">
        <w:rPr>
          <w:lang w:val="fr-CA"/>
        </w:rPr>
        <w:t xml:space="preserve"> (2d) 275.</w:t>
      </w:r>
    </w:p>
    <w:p w:rsidR="00E67175" w:rsidRPr="00E67175" w:rsidRDefault="00E67175" w:rsidP="00E67175">
      <w:pPr>
        <w:pStyle w:val="SCCNormalDoubleSpacing"/>
        <w:spacing w:after="240" w:line="240" w:lineRule="auto"/>
        <w:ind w:left="540" w:hanging="540"/>
        <w:rPr>
          <w:lang w:val="fr-CA"/>
        </w:rPr>
      </w:pPr>
      <w:r w:rsidRPr="00E67175">
        <w:rPr>
          <w:lang w:val="fr-CA"/>
        </w:rPr>
        <w:t>Macdonald, Roderick A. « L</w:t>
      </w:r>
      <w:r w:rsidR="009F72D8">
        <w:rPr>
          <w:lang w:val="fr-CA"/>
        </w:rPr>
        <w:t>’</w:t>
      </w:r>
      <w:r w:rsidRPr="00E67175">
        <w:rPr>
          <w:lang w:val="fr-CA"/>
        </w:rPr>
        <w:t>accès à la justice aujourd</w:t>
      </w:r>
      <w:r w:rsidR="009F72D8">
        <w:rPr>
          <w:lang w:val="fr-CA"/>
        </w:rPr>
        <w:t>’</w:t>
      </w:r>
      <w:r w:rsidRPr="00E67175">
        <w:rPr>
          <w:lang w:val="fr-CA"/>
        </w:rPr>
        <w:t xml:space="preserve">hui au Canada — étendue, envergure et ambitions », dans Julia </w:t>
      </w:r>
      <w:r w:rsidR="00627B5E">
        <w:rPr>
          <w:lang w:val="fr-CA"/>
        </w:rPr>
        <w:t>Bass, W. A. Bogart et Frederick </w:t>
      </w:r>
      <w:r w:rsidRPr="00E67175">
        <w:rPr>
          <w:lang w:val="fr-CA"/>
        </w:rPr>
        <w:t xml:space="preserve">H. Zemans, </w:t>
      </w:r>
      <w:proofErr w:type="gramStart"/>
      <w:r w:rsidRPr="00E67175">
        <w:rPr>
          <w:lang w:val="fr-CA"/>
        </w:rPr>
        <w:t>dir.,</w:t>
      </w:r>
      <w:proofErr w:type="gramEnd"/>
      <w:r w:rsidRPr="00E67175">
        <w:rPr>
          <w:lang w:val="fr-CA"/>
        </w:rPr>
        <w:t xml:space="preserve"> </w:t>
      </w:r>
      <w:r w:rsidRPr="00E67175">
        <w:rPr>
          <w:i/>
          <w:lang w:val="fr-CA"/>
        </w:rPr>
        <w:t>L</w:t>
      </w:r>
      <w:r w:rsidR="009F72D8">
        <w:rPr>
          <w:i/>
          <w:lang w:val="fr-CA"/>
        </w:rPr>
        <w:t>’</w:t>
      </w:r>
      <w:r w:rsidRPr="00E67175">
        <w:rPr>
          <w:i/>
          <w:lang w:val="fr-CA"/>
        </w:rPr>
        <w:t>accès à la justice pour le nouveau siècle : les voies du progrès</w:t>
      </w:r>
      <w:r w:rsidR="00BC247A">
        <w:rPr>
          <w:lang w:val="fr-CA"/>
        </w:rPr>
        <w:t>, Toronto, Barreau du Haut</w:t>
      </w:r>
      <w:r w:rsidR="00BC247A">
        <w:rPr>
          <w:lang w:val="fr-CA"/>
        </w:rPr>
        <w:noBreakHyphen/>
      </w:r>
      <w:r w:rsidRPr="00E67175">
        <w:rPr>
          <w:lang w:val="fr-CA"/>
        </w:rPr>
        <w:t>Canada, 2005, 23.</w:t>
      </w:r>
    </w:p>
    <w:p w:rsidR="00860B32" w:rsidRDefault="00860B32" w:rsidP="00860B32">
      <w:pPr>
        <w:pStyle w:val="SCCNormalDoubleSpacing"/>
        <w:spacing w:after="240" w:line="240" w:lineRule="auto"/>
        <w:ind w:left="540" w:hanging="540"/>
        <w:rPr>
          <w:color w:val="000000"/>
          <w:lang w:val="en-US"/>
        </w:rPr>
      </w:pPr>
      <w:r>
        <w:rPr>
          <w:color w:val="000000"/>
          <w:lang w:val="en-US"/>
        </w:rPr>
        <w:lastRenderedPageBreak/>
        <w:t xml:space="preserve">McNeil, Kent. </w:t>
      </w:r>
      <w:r w:rsidRPr="002B5501">
        <w:rPr>
          <w:lang w:val="en-US"/>
        </w:rPr>
        <w:t>« </w:t>
      </w:r>
      <w:r w:rsidRPr="000671BF">
        <w:rPr>
          <w:color w:val="000000"/>
          <w:lang w:val="en-US"/>
        </w:rPr>
        <w:t>Aboriginal Title</w:t>
      </w:r>
      <w:r>
        <w:rPr>
          <w:color w:val="000000"/>
          <w:lang w:val="en-US"/>
        </w:rPr>
        <w:t xml:space="preserve"> and the Provinces after </w:t>
      </w:r>
      <w:r>
        <w:rPr>
          <w:i/>
          <w:color w:val="000000"/>
          <w:lang w:val="en-US"/>
        </w:rPr>
        <w:t>Tsilhqot’in Nation</w:t>
      </w:r>
      <w:r w:rsidRPr="002B5501">
        <w:rPr>
          <w:lang w:val="en-US"/>
        </w:rPr>
        <w:t> »</w:t>
      </w:r>
      <w:r>
        <w:rPr>
          <w:color w:val="000000"/>
          <w:lang w:val="en-US"/>
        </w:rPr>
        <w:t xml:space="preserve"> (2015), 71 </w:t>
      </w:r>
      <w:r w:rsidRPr="00B00D2B">
        <w:rPr>
          <w:i/>
          <w:color w:val="000000"/>
          <w:lang w:val="en-US"/>
        </w:rPr>
        <w:t>S.C.L.R.</w:t>
      </w:r>
      <w:r>
        <w:rPr>
          <w:color w:val="000000"/>
          <w:lang w:val="en-US"/>
        </w:rPr>
        <w:t xml:space="preserve"> (2d) 67.</w:t>
      </w:r>
    </w:p>
    <w:p w:rsidR="00860B32" w:rsidRDefault="00860B32" w:rsidP="00860B32">
      <w:pPr>
        <w:pStyle w:val="SCCNormalDoubleSpacing"/>
        <w:spacing w:after="240" w:line="240" w:lineRule="auto"/>
        <w:ind w:left="540" w:hanging="540"/>
        <w:rPr>
          <w:color w:val="000000"/>
          <w:lang w:val="en-US"/>
        </w:rPr>
      </w:pPr>
      <w:r w:rsidRPr="000671BF">
        <w:rPr>
          <w:color w:val="000000"/>
          <w:lang w:val="en-US"/>
        </w:rPr>
        <w:t xml:space="preserve">McNeil, Kent. </w:t>
      </w:r>
      <w:r w:rsidRPr="00906845">
        <w:rPr>
          <w:lang w:val="en-US"/>
        </w:rPr>
        <w:t>« </w:t>
      </w:r>
      <w:r w:rsidRPr="000671BF">
        <w:rPr>
          <w:color w:val="000000"/>
          <w:lang w:val="en-US"/>
        </w:rPr>
        <w:t>Aboriginal Title as a Constitutionally Protected Property Right</w:t>
      </w:r>
      <w:r w:rsidRPr="00906845">
        <w:rPr>
          <w:lang w:val="en-US"/>
        </w:rPr>
        <w:t> »</w:t>
      </w:r>
      <w:r w:rsidRPr="00906845">
        <w:rPr>
          <w:color w:val="000000"/>
          <w:lang w:val="en-US"/>
        </w:rPr>
        <w:t>,</w:t>
      </w:r>
      <w:r>
        <w:rPr>
          <w:color w:val="000000"/>
          <w:lang w:val="en-US"/>
        </w:rPr>
        <w:t xml:space="preserve"> in Owen Lippert, ed., </w:t>
      </w:r>
      <w:r>
        <w:rPr>
          <w:i/>
          <w:color w:val="000000"/>
          <w:lang w:val="en-US"/>
        </w:rPr>
        <w:t xml:space="preserve">Beyond the Nass </w:t>
      </w:r>
      <w:proofErr w:type="gramStart"/>
      <w:r>
        <w:rPr>
          <w:i/>
          <w:color w:val="000000"/>
          <w:lang w:val="en-US"/>
        </w:rPr>
        <w:t>Valley</w:t>
      </w:r>
      <w:r w:rsidRPr="00906845">
        <w:rPr>
          <w:lang w:val="en-US"/>
        </w:rPr>
        <w:t> </w:t>
      </w:r>
      <w:r>
        <w:rPr>
          <w:i/>
          <w:color w:val="000000"/>
          <w:lang w:val="en-US"/>
        </w:rPr>
        <w:t>:</w:t>
      </w:r>
      <w:proofErr w:type="gramEnd"/>
      <w:r>
        <w:rPr>
          <w:i/>
          <w:color w:val="000000"/>
          <w:lang w:val="en-US"/>
        </w:rPr>
        <w:t xml:space="preserve"> National Implications of the Supreme Court’s Delgamuukw Decision</w:t>
      </w:r>
      <w:r>
        <w:rPr>
          <w:color w:val="000000"/>
          <w:lang w:val="en-US"/>
        </w:rPr>
        <w:t>, Vancouver, Fraser Institute, 2000, 55.</w:t>
      </w:r>
    </w:p>
    <w:p w:rsidR="0048573B" w:rsidRPr="0048573B" w:rsidRDefault="00BC247A" w:rsidP="0048573B">
      <w:pPr>
        <w:pStyle w:val="SCCNormalDoubleSpacing"/>
        <w:spacing w:after="240" w:line="240" w:lineRule="auto"/>
        <w:ind w:left="540" w:hanging="540"/>
        <w:rPr>
          <w:lang w:val="en-US"/>
        </w:rPr>
      </w:pPr>
      <w:r>
        <w:rPr>
          <w:lang w:val="en-US"/>
        </w:rPr>
        <w:t>McNeil, Kent. « Co</w:t>
      </w:r>
      <w:r>
        <w:rPr>
          <w:lang w:val="en-US"/>
        </w:rPr>
        <w:noBreakHyphen/>
      </w:r>
      <w:r w:rsidR="0048573B" w:rsidRPr="0048573B">
        <w:rPr>
          <w:lang w:val="en-US"/>
        </w:rPr>
        <w:t xml:space="preserve">Existence of Indigenous Rights and Other Interests in Land in Australia and Canada » (1997), 3 </w:t>
      </w:r>
      <w:r w:rsidR="0048573B" w:rsidRPr="0048573B">
        <w:rPr>
          <w:i/>
          <w:lang w:val="en-US"/>
        </w:rPr>
        <w:t>C.N.L.R.</w:t>
      </w:r>
      <w:r w:rsidR="0048573B" w:rsidRPr="0048573B">
        <w:rPr>
          <w:lang w:val="en-US"/>
        </w:rPr>
        <w:t xml:space="preserve"> 1.</w:t>
      </w:r>
    </w:p>
    <w:p w:rsidR="00860B32" w:rsidRPr="00F15B3F" w:rsidRDefault="00860B32" w:rsidP="00860B32">
      <w:pPr>
        <w:pStyle w:val="SCCNormalDoubleSpacing"/>
        <w:spacing w:after="240" w:line="240" w:lineRule="auto"/>
        <w:ind w:left="540" w:hanging="540"/>
        <w:rPr>
          <w:color w:val="000000"/>
        </w:rPr>
      </w:pPr>
      <w:r w:rsidRPr="00F15B3F">
        <w:rPr>
          <w:color w:val="000000"/>
          <w:lang w:val="en-US"/>
        </w:rPr>
        <w:t>McNeil, Kent. « </w:t>
      </w:r>
      <w:r w:rsidRPr="00F15B3F">
        <w:rPr>
          <w:color w:val="000000"/>
        </w:rPr>
        <w:t xml:space="preserve">Reconciliation and Third-Party </w:t>
      </w:r>
      <w:proofErr w:type="gramStart"/>
      <w:r w:rsidRPr="00F15B3F">
        <w:rPr>
          <w:color w:val="000000"/>
        </w:rPr>
        <w:t>Interests</w:t>
      </w:r>
      <w:r w:rsidRPr="00F15B3F">
        <w:rPr>
          <w:color w:val="000000"/>
          <w:lang w:val="en-US"/>
        </w:rPr>
        <w:t> </w:t>
      </w:r>
      <w:r w:rsidRPr="00F15B3F">
        <w:rPr>
          <w:color w:val="000000"/>
        </w:rPr>
        <w:t>:</w:t>
      </w:r>
      <w:proofErr w:type="gramEnd"/>
      <w:r w:rsidRPr="00F15B3F">
        <w:rPr>
          <w:color w:val="000000"/>
        </w:rPr>
        <w:t xml:space="preserve"> </w:t>
      </w:r>
      <w:r w:rsidRPr="00F15B3F">
        <w:rPr>
          <w:i/>
          <w:color w:val="000000"/>
        </w:rPr>
        <w:t>Tsilhqot</w:t>
      </w:r>
      <w:r>
        <w:rPr>
          <w:i/>
          <w:color w:val="000000"/>
        </w:rPr>
        <w:t>’</w:t>
      </w:r>
      <w:r w:rsidRPr="00F15B3F">
        <w:rPr>
          <w:i/>
          <w:color w:val="000000"/>
        </w:rPr>
        <w:t>in Nation v. British Columbia</w:t>
      </w:r>
      <w:r w:rsidRPr="00F15B3F">
        <w:rPr>
          <w:color w:val="000000"/>
          <w:lang w:val="en-US"/>
        </w:rPr>
        <w:t> »</w:t>
      </w:r>
      <w:r w:rsidRPr="00F15B3F">
        <w:rPr>
          <w:color w:val="000000"/>
        </w:rPr>
        <w:t xml:space="preserve"> (2010), 8 </w:t>
      </w:r>
      <w:r w:rsidRPr="00F15B3F">
        <w:rPr>
          <w:i/>
          <w:color w:val="000000"/>
        </w:rPr>
        <w:t>Indigenous L.J.</w:t>
      </w:r>
      <w:r w:rsidRPr="00F15B3F">
        <w:rPr>
          <w:color w:val="000000"/>
        </w:rPr>
        <w:t xml:space="preserve"> 7.</w:t>
      </w:r>
    </w:p>
    <w:p w:rsidR="003150C5" w:rsidRDefault="003150C5" w:rsidP="003150C5">
      <w:pPr>
        <w:pStyle w:val="SCCNormalDoubleSpacing"/>
        <w:spacing w:after="240" w:line="240" w:lineRule="auto"/>
        <w:ind w:left="540" w:hanging="540"/>
        <w:rPr>
          <w:color w:val="000000"/>
          <w:lang w:val="en-US"/>
        </w:rPr>
      </w:pPr>
      <w:r w:rsidRPr="0048573B">
        <w:rPr>
          <w:color w:val="000000"/>
          <w:lang w:val="en-US"/>
        </w:rPr>
        <w:t>McNeil, Kent.</w:t>
      </w:r>
      <w:r w:rsidR="00BC247A">
        <w:rPr>
          <w:i/>
          <w:iCs/>
          <w:color w:val="000000"/>
          <w:lang w:val="en-US"/>
        </w:rPr>
        <w:t xml:space="preserve"> The Post</w:t>
      </w:r>
      <w:r w:rsidR="00BC247A">
        <w:rPr>
          <w:i/>
          <w:iCs/>
          <w:color w:val="000000"/>
          <w:lang w:val="en-US"/>
        </w:rPr>
        <w:noBreakHyphen/>
      </w:r>
      <w:r w:rsidRPr="0048573B">
        <w:rPr>
          <w:i/>
          <w:iCs/>
          <w:color w:val="000000"/>
          <w:lang w:val="en-US"/>
        </w:rPr>
        <w:t>Delgamuukw Nature and Content of Aboriginal Title</w:t>
      </w:r>
      <w:r w:rsidRPr="0048573B">
        <w:rPr>
          <w:color w:val="000000"/>
          <w:lang w:val="en-US"/>
        </w:rPr>
        <w:t>, mai 2000</w:t>
      </w:r>
      <w:r w:rsidR="00C70E7E">
        <w:rPr>
          <w:color w:val="000000"/>
          <w:lang w:val="en-US"/>
        </w:rPr>
        <w:t xml:space="preserve"> </w:t>
      </w:r>
      <w:r w:rsidRPr="0048573B">
        <w:rPr>
          <w:color w:val="000000"/>
          <w:lang w:val="en-US"/>
        </w:rPr>
        <w:t xml:space="preserve">(en </w:t>
      </w:r>
      <w:proofErr w:type="gramStart"/>
      <w:r w:rsidRPr="0048573B">
        <w:rPr>
          <w:color w:val="000000"/>
          <w:lang w:val="en-US"/>
        </w:rPr>
        <w:t>ligne :</w:t>
      </w:r>
      <w:proofErr w:type="gramEnd"/>
      <w:r w:rsidRPr="0048573B">
        <w:rPr>
          <w:color w:val="000000"/>
          <w:lang w:val="en-US"/>
        </w:rPr>
        <w:t> https://www.autochthonapn.com/uploads/1/1/0/7/110765783/content__1_.pdf; version archivée : </w:t>
      </w:r>
      <w:r w:rsidR="006214BA" w:rsidRPr="00771C5F">
        <w:rPr>
          <w:rStyle w:val="Hyperlink"/>
          <w:color w:val="auto"/>
          <w:u w:val="none"/>
          <w:lang w:val="en-US"/>
        </w:rPr>
        <w:t>https://www.scc-csc.ca/cso-dce/2020SCC-CSC4_2_eng.pdf</w:t>
      </w:r>
      <w:r w:rsidRPr="0048573B">
        <w:rPr>
          <w:color w:val="000000"/>
          <w:lang w:val="en-US"/>
        </w:rPr>
        <w:t>).</w:t>
      </w:r>
    </w:p>
    <w:p w:rsidR="00E06181" w:rsidRDefault="00E06181" w:rsidP="00E06181">
      <w:pPr>
        <w:pStyle w:val="SCCNormalDoubleSpacing"/>
        <w:spacing w:after="240" w:line="240" w:lineRule="auto"/>
        <w:ind w:left="540" w:hanging="540"/>
        <w:rPr>
          <w:color w:val="000000"/>
          <w:lang w:val="fr-CA"/>
        </w:rPr>
      </w:pPr>
      <w:r>
        <w:rPr>
          <w:color w:val="000000"/>
          <w:lang w:val="fr-CA"/>
        </w:rPr>
        <w:t>Montpetit, André, et Gaston Taillefer.</w:t>
      </w:r>
      <w:r>
        <w:rPr>
          <w:i/>
          <w:color w:val="000000"/>
          <w:lang w:val="fr-CA"/>
        </w:rPr>
        <w:t xml:space="preserve"> Traité de droit civil du Québec</w:t>
      </w:r>
      <w:r>
        <w:rPr>
          <w:color w:val="000000"/>
          <w:lang w:val="fr-CA"/>
        </w:rPr>
        <w:t xml:space="preserve">, t. 3, </w:t>
      </w:r>
      <w:r>
        <w:rPr>
          <w:i/>
          <w:color w:val="000000"/>
          <w:lang w:val="fr-CA"/>
        </w:rPr>
        <w:t>Les biens, la propriété, l</w:t>
      </w:r>
      <w:r w:rsidR="009F72D8">
        <w:rPr>
          <w:i/>
          <w:color w:val="000000"/>
          <w:lang w:val="fr-CA"/>
        </w:rPr>
        <w:t>’</w:t>
      </w:r>
      <w:r>
        <w:rPr>
          <w:i/>
          <w:color w:val="000000"/>
          <w:lang w:val="fr-CA"/>
        </w:rPr>
        <w:t>usufruit, l</w:t>
      </w:r>
      <w:r w:rsidR="009F72D8">
        <w:rPr>
          <w:i/>
          <w:color w:val="000000"/>
          <w:lang w:val="fr-CA"/>
        </w:rPr>
        <w:t>’</w:t>
      </w:r>
      <w:r>
        <w:rPr>
          <w:i/>
          <w:color w:val="000000"/>
          <w:lang w:val="fr-CA"/>
        </w:rPr>
        <w:t>usage, l</w:t>
      </w:r>
      <w:r w:rsidR="009F72D8">
        <w:rPr>
          <w:i/>
          <w:color w:val="000000"/>
          <w:lang w:val="fr-CA"/>
        </w:rPr>
        <w:t>’</w:t>
      </w:r>
      <w:r>
        <w:rPr>
          <w:i/>
          <w:color w:val="000000"/>
          <w:lang w:val="fr-CA"/>
        </w:rPr>
        <w:t>habitation, les servitudes réelles, l</w:t>
      </w:r>
      <w:r w:rsidR="009F72D8">
        <w:rPr>
          <w:i/>
          <w:color w:val="000000"/>
          <w:lang w:val="fr-CA"/>
        </w:rPr>
        <w:t>’</w:t>
      </w:r>
      <w:r>
        <w:rPr>
          <w:i/>
          <w:color w:val="000000"/>
          <w:lang w:val="fr-CA"/>
        </w:rPr>
        <w:t>emphytéose</w:t>
      </w:r>
      <w:r>
        <w:rPr>
          <w:color w:val="000000"/>
          <w:lang w:val="fr-CA"/>
        </w:rPr>
        <w:t>, Montréal, Wilson &amp; Lafleur, 1945.</w:t>
      </w:r>
    </w:p>
    <w:p w:rsidR="00E1651A" w:rsidRDefault="00E1651A" w:rsidP="00E1651A">
      <w:pPr>
        <w:pStyle w:val="SCCNormalDoubleSpacing"/>
        <w:spacing w:after="240" w:line="240" w:lineRule="auto"/>
        <w:ind w:left="540" w:hanging="540"/>
        <w:rPr>
          <w:color w:val="000000"/>
          <w:lang w:val="fr-CA"/>
        </w:rPr>
      </w:pPr>
      <w:r>
        <w:rPr>
          <w:color w:val="000000"/>
          <w:lang w:val="fr-CA"/>
        </w:rPr>
        <w:t xml:space="preserve">Morin, Michel. </w:t>
      </w:r>
      <w:r w:rsidRPr="00FF4737">
        <w:rPr>
          <w:lang w:val="fr-CA"/>
        </w:rPr>
        <w:t>« </w:t>
      </w:r>
      <w:r>
        <w:rPr>
          <w:color w:val="000000"/>
          <w:lang w:val="fr-CA"/>
        </w:rPr>
        <w:t>La coexistence des systèmes de droit autochtones, de droit civil et de common law au Canada</w:t>
      </w:r>
      <w:r>
        <w:rPr>
          <w:lang w:val="fr-CA"/>
        </w:rPr>
        <w:t> »</w:t>
      </w:r>
      <w:r w:rsidR="00BC247A">
        <w:rPr>
          <w:color w:val="000000"/>
          <w:lang w:val="fr-CA"/>
        </w:rPr>
        <w:t>, dans Louis Perret et Alain</w:t>
      </w:r>
      <w:r w:rsidR="00BC247A">
        <w:rPr>
          <w:color w:val="000000"/>
          <w:lang w:val="fr-CA"/>
        </w:rPr>
        <w:noBreakHyphen/>
      </w:r>
      <w:r>
        <w:rPr>
          <w:color w:val="000000"/>
          <w:lang w:val="fr-CA"/>
        </w:rPr>
        <w:t xml:space="preserve">François Bisson, dir., </w:t>
      </w:r>
      <w:r w:rsidRPr="00E16ACA">
        <w:rPr>
          <w:i/>
          <w:color w:val="000000"/>
          <w:lang w:val="fr-CA"/>
        </w:rPr>
        <w:t>Évolution des systèmes juridiques, bijuridisme et commerce international</w:t>
      </w:r>
      <w:r w:rsidRPr="00E16ACA">
        <w:rPr>
          <w:color w:val="000000"/>
          <w:lang w:val="fr-CA"/>
        </w:rPr>
        <w:t>, Montréal, Wilson &amp; Lafleur, 2003, 159.</w:t>
      </w:r>
    </w:p>
    <w:p w:rsidR="00EC2DBD" w:rsidRPr="00EC2DBD" w:rsidRDefault="00EC2DBD" w:rsidP="00EC2DBD">
      <w:pPr>
        <w:pStyle w:val="SCCNormalDoubleSpacing"/>
        <w:spacing w:after="240" w:line="240" w:lineRule="auto"/>
        <w:ind w:left="540" w:hanging="540"/>
        <w:rPr>
          <w:color w:val="000000"/>
          <w:lang w:val="en-US"/>
        </w:rPr>
      </w:pPr>
      <w:r w:rsidRPr="00EC2DBD">
        <w:rPr>
          <w:color w:val="000000"/>
          <w:lang w:val="en-US"/>
        </w:rPr>
        <w:t xml:space="preserve">Newman, Warren J. « The Rule of Law, the Separation of Powers and Judicial Independence in Canada », in Peter Oliver, Patrick Macklem and Nathalie Des Rosiers, eds., </w:t>
      </w:r>
      <w:r w:rsidRPr="00EC2DBD">
        <w:rPr>
          <w:i/>
          <w:color w:val="000000"/>
          <w:lang w:val="en-US"/>
        </w:rPr>
        <w:t>The Oxford Handbook of the Canadian Constitution</w:t>
      </w:r>
      <w:r w:rsidRPr="00EC2DBD">
        <w:rPr>
          <w:color w:val="000000"/>
          <w:lang w:val="en-US"/>
        </w:rPr>
        <w:t>, New York, Oxford University Press, 2017, 1031.</w:t>
      </w:r>
    </w:p>
    <w:p w:rsidR="003953EE" w:rsidRDefault="003953EE" w:rsidP="003953EE">
      <w:pPr>
        <w:pStyle w:val="SCCNormalDoubleSpacing"/>
        <w:spacing w:after="240" w:line="240" w:lineRule="auto"/>
        <w:ind w:left="540" w:hanging="540"/>
        <w:rPr>
          <w:color w:val="000000"/>
          <w:lang w:val="fr-CA"/>
        </w:rPr>
      </w:pPr>
      <w:r>
        <w:rPr>
          <w:color w:val="000000"/>
          <w:lang w:val="fr-CA"/>
        </w:rPr>
        <w:t xml:space="preserve">Normand, Sylvio. </w:t>
      </w:r>
      <w:r>
        <w:rPr>
          <w:i/>
          <w:color w:val="000000"/>
          <w:lang w:val="fr-CA"/>
        </w:rPr>
        <w:t>Introduction au droit des biens</w:t>
      </w:r>
      <w:r>
        <w:rPr>
          <w:color w:val="000000"/>
          <w:lang w:val="fr-CA"/>
        </w:rPr>
        <w:t>, 2</w:t>
      </w:r>
      <w:r w:rsidRPr="0046730A">
        <w:rPr>
          <w:color w:val="000000"/>
          <w:vertAlign w:val="superscript"/>
          <w:lang w:val="fr-CA"/>
        </w:rPr>
        <w:t>e</w:t>
      </w:r>
      <w:r>
        <w:rPr>
          <w:color w:val="000000"/>
          <w:lang w:val="fr-CA"/>
        </w:rPr>
        <w:t xml:space="preserve"> éd., Montréal, Wilson &amp; Lafleur, 2014.</w:t>
      </w:r>
    </w:p>
    <w:p w:rsidR="00AF03A2" w:rsidRPr="00AF03A2" w:rsidRDefault="00AF03A2" w:rsidP="00AF03A2">
      <w:pPr>
        <w:pStyle w:val="SCCNormalDoubleSpacing"/>
        <w:spacing w:after="240" w:line="240" w:lineRule="auto"/>
        <w:ind w:left="540" w:hanging="540"/>
        <w:rPr>
          <w:color w:val="000000"/>
          <w:lang w:val="en-US"/>
        </w:rPr>
      </w:pPr>
      <w:r w:rsidRPr="00AF03A2">
        <w:rPr>
          <w:color w:val="000000"/>
          <w:lang w:val="en-US"/>
        </w:rPr>
        <w:t xml:space="preserve">NunatuKavut Community Council. </w:t>
      </w:r>
      <w:r w:rsidRPr="00AF03A2">
        <w:rPr>
          <w:i/>
          <w:color w:val="000000"/>
          <w:lang w:val="en-US"/>
        </w:rPr>
        <w:t>Memorandum of Understanding on Advancing Reconciliation</w:t>
      </w:r>
      <w:r w:rsidR="00C70E7E">
        <w:rPr>
          <w:color w:val="000000"/>
          <w:lang w:val="en-US"/>
        </w:rPr>
        <w:t>, 5 </w:t>
      </w:r>
      <w:r w:rsidRPr="00AF03A2">
        <w:rPr>
          <w:color w:val="000000"/>
          <w:lang w:val="en-US"/>
        </w:rPr>
        <w:t>septembre 2019 (</w:t>
      </w:r>
      <w:r w:rsidRPr="00AF03A2">
        <w:rPr>
          <w:bCs/>
          <w:color w:val="000000"/>
          <w:lang w:val="en-US"/>
        </w:rPr>
        <w:t xml:space="preserve">en </w:t>
      </w:r>
      <w:proofErr w:type="gramStart"/>
      <w:r w:rsidRPr="00AF03A2">
        <w:rPr>
          <w:bCs/>
          <w:color w:val="000000"/>
          <w:lang w:val="en-US"/>
        </w:rPr>
        <w:t>ligne </w:t>
      </w:r>
      <w:r w:rsidRPr="00AF03A2">
        <w:rPr>
          <w:color w:val="000000"/>
          <w:lang w:val="en-US"/>
        </w:rPr>
        <w:t>:</w:t>
      </w:r>
      <w:proofErr w:type="gramEnd"/>
      <w:r w:rsidRPr="00AF03A2">
        <w:rPr>
          <w:color w:val="000000"/>
          <w:lang w:val="en-US"/>
        </w:rPr>
        <w:t> https://nunatukavut.ca/site/uploads/2019/09/Memorandum-of-Understanding-on-Advancing-Reconciliation-NCC-Canada-SIGNED.pdf;</w:t>
      </w:r>
      <w:r w:rsidRPr="00AF03A2">
        <w:rPr>
          <w:bCs/>
          <w:color w:val="000000"/>
          <w:lang w:val="en-US"/>
        </w:rPr>
        <w:t> version archivée </w:t>
      </w:r>
      <w:r w:rsidRPr="00AF03A2">
        <w:rPr>
          <w:color w:val="000000"/>
          <w:lang w:val="en-US"/>
        </w:rPr>
        <w:t>: </w:t>
      </w:r>
      <w:r w:rsidR="006214BA" w:rsidRPr="00771C5F">
        <w:rPr>
          <w:rStyle w:val="Hyperlink"/>
          <w:color w:val="auto"/>
          <w:u w:val="none"/>
          <w:lang w:val="en-US"/>
        </w:rPr>
        <w:t>https://www.scc-csc.ca/cso-dce/2020SCC-CSC4_3_eng.pdf</w:t>
      </w:r>
      <w:r w:rsidRPr="00AF03A2">
        <w:rPr>
          <w:color w:val="000000"/>
          <w:lang w:val="en-US"/>
        </w:rPr>
        <w:t>).</w:t>
      </w:r>
    </w:p>
    <w:p w:rsidR="00AF03A2" w:rsidRPr="00FD0962" w:rsidRDefault="00AF03A2" w:rsidP="00AF03A2">
      <w:pPr>
        <w:pStyle w:val="SCCNormalDoubleSpacing"/>
        <w:spacing w:after="240" w:line="240" w:lineRule="auto"/>
        <w:ind w:left="540" w:hanging="540"/>
        <w:rPr>
          <w:color w:val="000000"/>
          <w:lang w:val="fr-CA"/>
        </w:rPr>
      </w:pPr>
      <w:r w:rsidRPr="00CA52C4">
        <w:rPr>
          <w:color w:val="000000"/>
          <w:lang w:val="fr-CA"/>
        </w:rPr>
        <w:t xml:space="preserve">NunatuKavut Community Council. </w:t>
      </w:r>
      <w:r w:rsidRPr="00FD0962">
        <w:rPr>
          <w:i/>
          <w:color w:val="000000"/>
          <w:lang w:val="fr-CA"/>
        </w:rPr>
        <w:t>Traditional Territory Map</w:t>
      </w:r>
      <w:r w:rsidRPr="00FD0962">
        <w:rPr>
          <w:color w:val="000000"/>
          <w:lang w:val="fr-CA"/>
        </w:rPr>
        <w:t xml:space="preserve">, </w:t>
      </w:r>
      <w:r w:rsidR="00FD0962" w:rsidRPr="00FD0962">
        <w:rPr>
          <w:color w:val="000000"/>
          <w:lang w:val="fr-CA"/>
        </w:rPr>
        <w:t xml:space="preserve">dernière mise à jour </w:t>
      </w:r>
      <w:r w:rsidRPr="00FD0962">
        <w:rPr>
          <w:color w:val="000000"/>
          <w:lang w:val="fr-CA"/>
        </w:rPr>
        <w:t>15 novembre 2019 (</w:t>
      </w:r>
      <w:r w:rsidRPr="00FD0962">
        <w:rPr>
          <w:bCs/>
          <w:color w:val="000000"/>
          <w:lang w:val="fr-CA"/>
        </w:rPr>
        <w:t>en ligne </w:t>
      </w:r>
      <w:r w:rsidRPr="00FD0962">
        <w:rPr>
          <w:color w:val="000000"/>
          <w:lang w:val="fr-CA"/>
        </w:rPr>
        <w:t>: https://nunatukavut.ca/about/rights-recognition/;</w:t>
      </w:r>
      <w:r w:rsidRPr="00FD0962">
        <w:rPr>
          <w:bCs/>
          <w:color w:val="000000"/>
          <w:lang w:val="fr-CA"/>
        </w:rPr>
        <w:t> version archivée </w:t>
      </w:r>
      <w:r w:rsidRPr="00FD0962">
        <w:rPr>
          <w:color w:val="000000"/>
          <w:lang w:val="fr-CA"/>
        </w:rPr>
        <w:t>: </w:t>
      </w:r>
      <w:r w:rsidR="00580B41" w:rsidRPr="00771C5F">
        <w:rPr>
          <w:rStyle w:val="Hyperlink"/>
          <w:color w:val="auto"/>
          <w:u w:val="none"/>
          <w:lang w:val="fr-CA"/>
        </w:rPr>
        <w:t>https://www.scc-csc.ca/cso-dce/2020SCC-CSC4_4_eng.pdf</w:t>
      </w:r>
      <w:r w:rsidRPr="00FD0962">
        <w:rPr>
          <w:color w:val="000000"/>
          <w:lang w:val="fr-CA"/>
        </w:rPr>
        <w:t>).</w:t>
      </w:r>
    </w:p>
    <w:p w:rsidR="00CA4392" w:rsidRDefault="00CA4392" w:rsidP="00B820BA">
      <w:pPr>
        <w:pStyle w:val="SCCNormalDoubleSpacing"/>
        <w:spacing w:after="240" w:line="240" w:lineRule="auto"/>
        <w:ind w:left="540" w:hanging="540"/>
        <w:rPr>
          <w:lang w:val="fr-CA"/>
        </w:rPr>
      </w:pPr>
      <w:r w:rsidRPr="00CA4392">
        <w:rPr>
          <w:lang w:val="fr-CA"/>
        </w:rPr>
        <w:t xml:space="preserve">Paré, Marie. </w:t>
      </w:r>
      <w:r w:rsidRPr="00CA4392">
        <w:rPr>
          <w:i/>
          <w:lang w:val="fr-CA"/>
        </w:rPr>
        <w:t>La requête en jugement déclaratoire</w:t>
      </w:r>
      <w:r w:rsidRPr="00CA4392">
        <w:rPr>
          <w:lang w:val="fr-CA"/>
        </w:rPr>
        <w:t>, Cowansville (Qc), Yvon Blais, 2001.</w:t>
      </w:r>
    </w:p>
    <w:p w:rsidR="00B60F88" w:rsidRPr="00B60F88" w:rsidRDefault="00B60F88" w:rsidP="00B820BA">
      <w:pPr>
        <w:pStyle w:val="SCCNormalDoubleSpacing"/>
        <w:spacing w:after="240" w:line="240" w:lineRule="auto"/>
        <w:ind w:left="540" w:hanging="540"/>
      </w:pPr>
      <w:r w:rsidRPr="00D67073">
        <w:rPr>
          <w:lang w:val="en-US"/>
        </w:rPr>
        <w:lastRenderedPageBreak/>
        <w:t>Pitel</w:t>
      </w:r>
      <w:r w:rsidR="00C70E7E">
        <w:rPr>
          <w:lang w:val="en-US"/>
        </w:rPr>
        <w:t xml:space="preserve">, Stephen G. </w:t>
      </w:r>
      <w:r w:rsidRPr="00D67073">
        <w:rPr>
          <w:lang w:val="en-US"/>
        </w:rPr>
        <w:t>A., and Nicholas</w:t>
      </w:r>
      <w:r w:rsidR="000916C5" w:rsidRPr="00D67073">
        <w:rPr>
          <w:lang w:val="en-US"/>
        </w:rPr>
        <w:t> </w:t>
      </w:r>
      <w:r w:rsidRPr="00D67073">
        <w:rPr>
          <w:lang w:val="en-US"/>
        </w:rPr>
        <w:t xml:space="preserve">S. Rafferty. </w:t>
      </w:r>
      <w:r w:rsidRPr="00B60F88">
        <w:rPr>
          <w:i/>
        </w:rPr>
        <w:t>Conflict of Laws</w:t>
      </w:r>
      <w:r w:rsidRPr="00B60F88">
        <w:t>, 2nd ed., Toronto, Irwin Law, 2016.</w:t>
      </w:r>
    </w:p>
    <w:p w:rsidR="007A7C4F" w:rsidRDefault="007A7C4F" w:rsidP="00B820BA">
      <w:pPr>
        <w:pStyle w:val="SCCNormalDoubleSpacing"/>
        <w:spacing w:after="240" w:line="240" w:lineRule="auto"/>
        <w:ind w:left="540" w:hanging="540"/>
        <w:rPr>
          <w:lang w:val="fr-CA"/>
        </w:rPr>
      </w:pPr>
      <w:r w:rsidRPr="009B3318">
        <w:rPr>
          <w:lang w:val="fr-CA"/>
        </w:rPr>
        <w:t xml:space="preserve">Québec. </w:t>
      </w:r>
      <w:r w:rsidRPr="007A7C4F">
        <w:rPr>
          <w:lang w:val="fr-CA"/>
        </w:rPr>
        <w:t xml:space="preserve">Assemblée nationale. </w:t>
      </w:r>
      <w:r w:rsidRPr="001D230C">
        <w:rPr>
          <w:lang w:val="fr-CA"/>
        </w:rPr>
        <w:t>Sous</w:t>
      </w:r>
      <w:r w:rsidR="000916C5">
        <w:rPr>
          <w:lang w:val="fr-CA"/>
        </w:rPr>
        <w:noBreakHyphen/>
      </w:r>
      <w:r w:rsidRPr="001D230C">
        <w:rPr>
          <w:lang w:val="fr-CA"/>
        </w:rPr>
        <w:t xml:space="preserve">commission des institutions. </w:t>
      </w:r>
      <w:r w:rsidRPr="007A7C4F">
        <w:rPr>
          <w:color w:val="000000"/>
          <w:lang w:val="fr-CA"/>
        </w:rPr>
        <w:t>« </w:t>
      </w:r>
      <w:r w:rsidRPr="001D230C">
        <w:rPr>
          <w:lang w:val="fr-CA"/>
        </w:rPr>
        <w:t xml:space="preserve">Étude détaillée du projet de loi 125 </w:t>
      </w:r>
      <w:r>
        <w:rPr>
          <w:lang w:val="fr-CA"/>
        </w:rPr>
        <w:t>— Code civil du Québec</w:t>
      </w:r>
      <w:r w:rsidR="00BC247A">
        <w:rPr>
          <w:color w:val="000000"/>
          <w:lang w:val="fr-CA"/>
        </w:rPr>
        <w:t> </w:t>
      </w:r>
      <w:r w:rsidRPr="007A7C4F">
        <w:rPr>
          <w:color w:val="000000"/>
          <w:lang w:val="fr-CA"/>
        </w:rPr>
        <w:t>»</w:t>
      </w:r>
      <w:r>
        <w:rPr>
          <w:lang w:val="fr-CA"/>
        </w:rPr>
        <w:t xml:space="preserve">, </w:t>
      </w:r>
      <w:r>
        <w:rPr>
          <w:i/>
          <w:lang w:val="fr-CA"/>
        </w:rPr>
        <w:t>Journal des débats</w:t>
      </w:r>
      <w:r>
        <w:rPr>
          <w:lang w:val="fr-CA"/>
        </w:rPr>
        <w:t>,</w:t>
      </w:r>
      <w:r w:rsidR="000916C5">
        <w:rPr>
          <w:lang w:val="fr-CA"/>
        </w:rPr>
        <w:t xml:space="preserve"> </w:t>
      </w:r>
      <w:r w:rsidRPr="001D230C">
        <w:rPr>
          <w:color w:val="000000"/>
          <w:lang w:val="fr-CA"/>
        </w:rPr>
        <w:t>n</w:t>
      </w:r>
      <w:r w:rsidRPr="001D230C">
        <w:rPr>
          <w:color w:val="000000"/>
          <w:vertAlign w:val="superscript"/>
          <w:lang w:val="fr-CA"/>
        </w:rPr>
        <w:t>o</w:t>
      </w:r>
      <w:r w:rsidRPr="001D230C">
        <w:rPr>
          <w:color w:val="000000"/>
          <w:lang w:val="fr-CA"/>
        </w:rPr>
        <w:t> </w:t>
      </w:r>
      <w:r>
        <w:rPr>
          <w:lang w:val="fr-CA"/>
        </w:rPr>
        <w:t>28, 1</w:t>
      </w:r>
      <w:r w:rsidRPr="001D230C">
        <w:rPr>
          <w:vertAlign w:val="superscript"/>
          <w:lang w:val="fr-CA"/>
        </w:rPr>
        <w:t>re</w:t>
      </w:r>
      <w:r>
        <w:rPr>
          <w:lang w:val="fr-CA"/>
        </w:rPr>
        <w:t xml:space="preserve"> </w:t>
      </w:r>
      <w:proofErr w:type="gramStart"/>
      <w:r>
        <w:rPr>
          <w:lang w:val="fr-CA"/>
        </w:rPr>
        <w:t>sess.,</w:t>
      </w:r>
      <w:proofErr w:type="gramEnd"/>
      <w:r>
        <w:rPr>
          <w:lang w:val="fr-CA"/>
        </w:rPr>
        <w:t xml:space="preserve"> 34</w:t>
      </w:r>
      <w:r w:rsidRPr="001D230C">
        <w:rPr>
          <w:vertAlign w:val="superscript"/>
          <w:lang w:val="fr-CA"/>
        </w:rPr>
        <w:t>e</w:t>
      </w:r>
      <w:r>
        <w:rPr>
          <w:lang w:val="fr-CA"/>
        </w:rPr>
        <w:t xml:space="preserve"> lég</w:t>
      </w:r>
      <w:r w:rsidR="000916C5">
        <w:rPr>
          <w:lang w:val="fr-CA"/>
        </w:rPr>
        <w:t>., 3 </w:t>
      </w:r>
      <w:r w:rsidR="003748D3">
        <w:rPr>
          <w:lang w:val="fr-CA"/>
        </w:rPr>
        <w:t xml:space="preserve">décembre 1991, </w:t>
      </w:r>
      <w:r w:rsidR="000916C5">
        <w:rPr>
          <w:lang w:val="fr-CA"/>
        </w:rPr>
        <w:t>p. </w:t>
      </w:r>
      <w:r w:rsidR="003748D3">
        <w:rPr>
          <w:lang w:val="fr-CA"/>
        </w:rPr>
        <w:t>SCI</w:t>
      </w:r>
      <w:r w:rsidR="000916C5">
        <w:rPr>
          <w:lang w:val="fr-CA"/>
        </w:rPr>
        <w:noBreakHyphen/>
      </w:r>
      <w:r w:rsidR="003748D3">
        <w:rPr>
          <w:lang w:val="fr-CA"/>
        </w:rPr>
        <w:t xml:space="preserve">1124 et </w:t>
      </w:r>
      <w:r w:rsidR="003748D3" w:rsidRPr="003748D3">
        <w:rPr>
          <w:lang w:val="fr-CA"/>
        </w:rPr>
        <w:t>SCI</w:t>
      </w:r>
      <w:r w:rsidR="000916C5">
        <w:rPr>
          <w:lang w:val="fr-CA"/>
        </w:rPr>
        <w:noBreakHyphen/>
      </w:r>
      <w:r w:rsidR="003748D3" w:rsidRPr="003748D3">
        <w:rPr>
          <w:lang w:val="fr-CA"/>
        </w:rPr>
        <w:t>1129</w:t>
      </w:r>
      <w:r w:rsidR="003748D3">
        <w:rPr>
          <w:lang w:val="fr-CA"/>
        </w:rPr>
        <w:t>.</w:t>
      </w:r>
    </w:p>
    <w:p w:rsidR="00230E65" w:rsidRPr="00710D28" w:rsidRDefault="00230E65" w:rsidP="00230E65">
      <w:pPr>
        <w:pStyle w:val="SCCNormalDoubleSpacing"/>
        <w:spacing w:after="240" w:line="240" w:lineRule="auto"/>
        <w:ind w:left="540" w:hanging="540"/>
        <w:rPr>
          <w:lang w:val="fr-CA"/>
        </w:rPr>
      </w:pPr>
      <w:r w:rsidRPr="00710D28">
        <w:rPr>
          <w:lang w:val="fr-CA"/>
        </w:rPr>
        <w:t>Q</w:t>
      </w:r>
      <w:r>
        <w:rPr>
          <w:lang w:val="fr-CA"/>
        </w:rPr>
        <w:t xml:space="preserve">uébec. Ministère de la Justice. </w:t>
      </w:r>
      <w:r w:rsidRPr="00710D28">
        <w:rPr>
          <w:i/>
          <w:iCs/>
          <w:lang w:val="fr-CA"/>
        </w:rPr>
        <w:t>Commentaires du ministre de la Justice</w:t>
      </w:r>
      <w:r w:rsidRPr="00710D28">
        <w:rPr>
          <w:lang w:val="fr-CA"/>
        </w:rPr>
        <w:t>, t. I</w:t>
      </w:r>
      <w:r>
        <w:rPr>
          <w:lang w:val="fr-CA"/>
        </w:rPr>
        <w:t>I</w:t>
      </w:r>
      <w:r w:rsidRPr="00710D28">
        <w:rPr>
          <w:lang w:val="fr-CA"/>
        </w:rPr>
        <w:t>, </w:t>
      </w:r>
      <w:r w:rsidRPr="00710D28">
        <w:rPr>
          <w:i/>
          <w:iCs/>
          <w:lang w:val="fr-CA"/>
        </w:rPr>
        <w:t>Le Code civil du Québec — Un mouvement de société</w:t>
      </w:r>
      <w:r w:rsidRPr="00710D28">
        <w:rPr>
          <w:lang w:val="fr-CA"/>
        </w:rPr>
        <w:t>, Québec, Publications du Québec, 1993.</w:t>
      </w:r>
    </w:p>
    <w:p w:rsidR="00DC15B8" w:rsidRPr="001D230C" w:rsidRDefault="00DC15B8" w:rsidP="00B820BA">
      <w:pPr>
        <w:pStyle w:val="SCCNormalDoubleSpacing"/>
        <w:spacing w:after="240" w:line="240" w:lineRule="auto"/>
        <w:ind w:left="540" w:hanging="540"/>
        <w:rPr>
          <w:lang w:val="fr-CA"/>
        </w:rPr>
      </w:pPr>
      <w:r w:rsidRPr="00DC15B8">
        <w:rPr>
          <w:lang w:val="fr-CA"/>
        </w:rPr>
        <w:t>Q</w:t>
      </w:r>
      <w:r w:rsidR="00DF2C4D">
        <w:rPr>
          <w:lang w:val="fr-CA"/>
        </w:rPr>
        <w:t xml:space="preserve">uébec. Ministère de la Justice. </w:t>
      </w:r>
      <w:r w:rsidR="00DF2C4D">
        <w:rPr>
          <w:i/>
          <w:lang w:val="fr-CA"/>
        </w:rPr>
        <w:t xml:space="preserve">Projet de loi 125 : </w:t>
      </w:r>
      <w:r w:rsidRPr="00DC15B8">
        <w:rPr>
          <w:i/>
          <w:lang w:val="fr-CA"/>
        </w:rPr>
        <w:t>Code civil du Québec</w:t>
      </w:r>
      <w:r w:rsidRPr="00DC15B8">
        <w:rPr>
          <w:lang w:val="fr-CA"/>
        </w:rPr>
        <w:t>, </w:t>
      </w:r>
      <w:r w:rsidRPr="00DC15B8">
        <w:rPr>
          <w:i/>
          <w:iCs/>
          <w:lang w:val="fr-CA"/>
        </w:rPr>
        <w:t>Commentaires détaillés sur les dispositions du projet</w:t>
      </w:r>
      <w:r w:rsidRPr="00F937B7">
        <w:rPr>
          <w:i/>
          <w:lang w:val="fr-CA"/>
        </w:rPr>
        <w:t>,</w:t>
      </w:r>
      <w:r w:rsidRPr="00DC15B8">
        <w:rPr>
          <w:lang w:val="fr-CA"/>
        </w:rPr>
        <w:t xml:space="preserve"> </w:t>
      </w:r>
      <w:r w:rsidRPr="00DC15B8">
        <w:rPr>
          <w:i/>
          <w:lang w:val="fr-CA"/>
        </w:rPr>
        <w:t>Livre X</w:t>
      </w:r>
      <w:r w:rsidR="00DF2C4D">
        <w:rPr>
          <w:i/>
          <w:lang w:val="fr-CA"/>
        </w:rPr>
        <w:t xml:space="preserve"> : Du droit international privé </w:t>
      </w:r>
      <w:r w:rsidRPr="00DC15B8">
        <w:rPr>
          <w:i/>
          <w:lang w:val="fr-CA"/>
        </w:rPr>
        <w:t>et disposition finale (Art. 3053 à 3144)</w:t>
      </w:r>
      <w:r w:rsidR="00410C3D">
        <w:rPr>
          <w:lang w:val="fr-CA"/>
        </w:rPr>
        <w:t>,</w:t>
      </w:r>
      <w:r w:rsidRPr="00DC15B8">
        <w:rPr>
          <w:lang w:val="fr-CA"/>
        </w:rPr>
        <w:t xml:space="preserve"> Québec</w:t>
      </w:r>
      <w:r w:rsidR="00410C3D">
        <w:rPr>
          <w:lang w:val="fr-CA"/>
        </w:rPr>
        <w:t xml:space="preserve">, </w:t>
      </w:r>
      <w:r w:rsidRPr="00DC15B8">
        <w:rPr>
          <w:lang w:val="fr-CA"/>
        </w:rPr>
        <w:t>Le Ministère, 1991.</w:t>
      </w:r>
    </w:p>
    <w:p w:rsidR="00D505E2" w:rsidRDefault="00D505E2" w:rsidP="00D505E2">
      <w:pPr>
        <w:pStyle w:val="SCCNormalDoubleSpacing"/>
        <w:spacing w:after="240" w:line="240" w:lineRule="auto"/>
        <w:ind w:left="540" w:hanging="540"/>
        <w:rPr>
          <w:lang w:val="fr-CA"/>
        </w:rPr>
      </w:pPr>
      <w:r w:rsidRPr="00D505E2">
        <w:rPr>
          <w:lang w:val="fr-CA"/>
        </w:rPr>
        <w:t>Québec. Of</w:t>
      </w:r>
      <w:r w:rsidR="00DF2C4D">
        <w:rPr>
          <w:lang w:val="fr-CA"/>
        </w:rPr>
        <w:t xml:space="preserve">fice de révision du Code civil. </w:t>
      </w:r>
      <w:r w:rsidRPr="00D505E2">
        <w:rPr>
          <w:i/>
          <w:iCs/>
          <w:lang w:val="fr-CA"/>
        </w:rPr>
        <w:t>Rapport sur le Code civil du Québec</w:t>
      </w:r>
      <w:r w:rsidRPr="00D505E2">
        <w:rPr>
          <w:lang w:val="fr-CA"/>
        </w:rPr>
        <w:t>,</w:t>
      </w:r>
      <w:r w:rsidR="00540D4C">
        <w:rPr>
          <w:lang w:val="fr-CA"/>
        </w:rPr>
        <w:t xml:space="preserve"> vol.</w:t>
      </w:r>
      <w:r w:rsidR="00DF2C4D">
        <w:rPr>
          <w:lang w:val="fr-CA"/>
        </w:rPr>
        <w:t> </w:t>
      </w:r>
      <w:r w:rsidR="00540D4C">
        <w:rPr>
          <w:lang w:val="fr-CA"/>
        </w:rPr>
        <w:t>I</w:t>
      </w:r>
      <w:r w:rsidR="00905C62">
        <w:rPr>
          <w:lang w:val="fr-CA"/>
        </w:rPr>
        <w:t>,</w:t>
      </w:r>
      <w:r w:rsidR="00C70E7E">
        <w:rPr>
          <w:lang w:val="fr-CA"/>
        </w:rPr>
        <w:t xml:space="preserve"> </w:t>
      </w:r>
      <w:r w:rsidRPr="00D505E2">
        <w:rPr>
          <w:i/>
          <w:iCs/>
          <w:lang w:val="fr-CA"/>
        </w:rPr>
        <w:t>Projet de Code civil</w:t>
      </w:r>
      <w:r w:rsidRPr="00D505E2">
        <w:rPr>
          <w:lang w:val="fr-CA"/>
        </w:rPr>
        <w:t>, Québec, Éditeur officiel, 1978.</w:t>
      </w:r>
    </w:p>
    <w:p w:rsidR="00D505E2" w:rsidRPr="00A30A84" w:rsidRDefault="00D505E2" w:rsidP="00D505E2">
      <w:pPr>
        <w:pStyle w:val="SCCNormalDoubleSpacing"/>
        <w:spacing w:after="240" w:line="240" w:lineRule="auto"/>
        <w:ind w:left="540" w:hanging="540"/>
        <w:rPr>
          <w:lang w:val="fr-CA"/>
        </w:rPr>
      </w:pPr>
      <w:r w:rsidRPr="00D505E2">
        <w:rPr>
          <w:lang w:val="fr-CA"/>
        </w:rPr>
        <w:t>Québec. Office de révision du Code civil. </w:t>
      </w:r>
      <w:r w:rsidRPr="00D505E2">
        <w:rPr>
          <w:i/>
          <w:iCs/>
          <w:lang w:val="fr-CA"/>
        </w:rPr>
        <w:t>Rapport sur le Code civil du Québec</w:t>
      </w:r>
      <w:r w:rsidR="00DF2C4D">
        <w:rPr>
          <w:lang w:val="fr-CA"/>
        </w:rPr>
        <w:t xml:space="preserve">, </w:t>
      </w:r>
      <w:r w:rsidR="00905C62">
        <w:rPr>
          <w:lang w:val="fr-CA"/>
        </w:rPr>
        <w:t>vol.</w:t>
      </w:r>
      <w:r w:rsidR="00DF2C4D">
        <w:rPr>
          <w:lang w:val="fr-CA"/>
        </w:rPr>
        <w:t> </w:t>
      </w:r>
      <w:r w:rsidR="00905C62">
        <w:rPr>
          <w:lang w:val="fr-CA"/>
        </w:rPr>
        <w:t xml:space="preserve">II, </w:t>
      </w:r>
      <w:r w:rsidR="00905C62" w:rsidRPr="00A30A84">
        <w:rPr>
          <w:lang w:val="fr-CA"/>
        </w:rPr>
        <w:t xml:space="preserve">t. 2, </w:t>
      </w:r>
      <w:r w:rsidRPr="00A30A84">
        <w:rPr>
          <w:i/>
          <w:iCs/>
          <w:lang w:val="fr-CA"/>
        </w:rPr>
        <w:t>Commentaires</w:t>
      </w:r>
      <w:r w:rsidR="008B0903" w:rsidRPr="00A30A84">
        <w:rPr>
          <w:lang w:val="fr-CA"/>
        </w:rPr>
        <w:t xml:space="preserve">, </w:t>
      </w:r>
      <w:r w:rsidRPr="00A30A84">
        <w:rPr>
          <w:lang w:val="fr-CA"/>
        </w:rPr>
        <w:t>Québec, Éditeur officiel, 1978.</w:t>
      </w:r>
    </w:p>
    <w:p w:rsidR="00125367" w:rsidRDefault="00125367" w:rsidP="00B820BA">
      <w:pPr>
        <w:pStyle w:val="SCCNormalDoubleSpacing"/>
        <w:spacing w:after="240" w:line="240" w:lineRule="auto"/>
        <w:ind w:left="540" w:hanging="540"/>
        <w:rPr>
          <w:lang w:val="fr-CA"/>
        </w:rPr>
      </w:pPr>
      <w:r w:rsidRPr="00A30A84">
        <w:rPr>
          <w:lang w:val="fr-CA"/>
        </w:rPr>
        <w:t>Reid, Hubert, avec la collaboration de Simon Reid. </w:t>
      </w:r>
      <w:r w:rsidRPr="00A30A84">
        <w:rPr>
          <w:i/>
          <w:iCs/>
          <w:lang w:val="fr-CA"/>
        </w:rPr>
        <w:t>Dictionnaire de droit québécois et canadien</w:t>
      </w:r>
      <w:r w:rsidRPr="00A30A84">
        <w:rPr>
          <w:lang w:val="fr-CA"/>
        </w:rPr>
        <w:t>, 5</w:t>
      </w:r>
      <w:r w:rsidRPr="00A30A84">
        <w:rPr>
          <w:vertAlign w:val="superscript"/>
          <w:lang w:val="fr-CA"/>
        </w:rPr>
        <w:t>e</w:t>
      </w:r>
      <w:r w:rsidRPr="00A30A84">
        <w:rPr>
          <w:lang w:val="fr-CA"/>
        </w:rPr>
        <w:t xml:space="preserve"> éd., Montréal, Wilson &amp; Lafleur, 2015, </w:t>
      </w:r>
      <w:r w:rsidR="00570EAE" w:rsidRPr="00A30A84">
        <w:rPr>
          <w:lang w:val="fr-CA"/>
        </w:rPr>
        <w:t>« action mixte », « action personnelle », « action réelle », « droit réel », « </w:t>
      </w:r>
      <w:r w:rsidR="00570EAE" w:rsidRPr="00A30A84">
        <w:rPr>
          <w:i/>
          <w:lang w:val="fr-CA"/>
        </w:rPr>
        <w:t>sui generis</w:t>
      </w:r>
      <w:r w:rsidR="00570EAE" w:rsidRPr="00A30A84">
        <w:rPr>
          <w:lang w:val="fr-CA"/>
        </w:rPr>
        <w:t> ».</w:t>
      </w:r>
    </w:p>
    <w:p w:rsidR="00B366B0" w:rsidRPr="00B366B0" w:rsidRDefault="00DF2C4D" w:rsidP="00B366B0">
      <w:pPr>
        <w:pStyle w:val="SCCNormalDoubleSpacing"/>
        <w:spacing w:after="240" w:line="240" w:lineRule="auto"/>
        <w:ind w:left="540" w:hanging="540"/>
        <w:rPr>
          <w:lang w:val="en-US"/>
        </w:rPr>
      </w:pPr>
      <w:r>
        <w:rPr>
          <w:lang w:val="en-US"/>
        </w:rPr>
        <w:t xml:space="preserve">Roach, Kent. </w:t>
      </w:r>
      <w:r>
        <w:rPr>
          <w:i/>
          <w:iCs/>
          <w:lang w:val="en-US"/>
        </w:rPr>
        <w:t xml:space="preserve">Constitutional Remedies in </w:t>
      </w:r>
      <w:r w:rsidR="00B366B0" w:rsidRPr="00B366B0">
        <w:rPr>
          <w:i/>
          <w:iCs/>
          <w:lang w:val="en-US"/>
        </w:rPr>
        <w:t>Canada</w:t>
      </w:r>
      <w:r w:rsidR="00B366B0" w:rsidRPr="00B366B0">
        <w:rPr>
          <w:lang w:val="en-US"/>
        </w:rPr>
        <w:t>, 2nd ed., Toronto, Thomson Reuters, 2019 (loose</w:t>
      </w:r>
      <w:r w:rsidR="00B366B0" w:rsidRPr="00B366B0">
        <w:rPr>
          <w:lang w:val="en-US"/>
        </w:rPr>
        <w:noBreakHyphen/>
        <w:t>leaf updated October 2019, release 34).</w:t>
      </w:r>
    </w:p>
    <w:p w:rsidR="00CA4392" w:rsidRPr="00963ED8" w:rsidRDefault="00CA4392" w:rsidP="00B820BA">
      <w:pPr>
        <w:pStyle w:val="SCCNormalDoubleSpacing"/>
        <w:spacing w:after="240" w:line="240" w:lineRule="auto"/>
        <w:ind w:left="540" w:hanging="540"/>
        <w:rPr>
          <w:lang w:val="fr-CA"/>
        </w:rPr>
      </w:pPr>
      <w:r w:rsidRPr="00963ED8">
        <w:rPr>
          <w:lang w:val="fr-CA"/>
        </w:rPr>
        <w:t>Rochon</w:t>
      </w:r>
      <w:r>
        <w:rPr>
          <w:lang w:val="fr-CA"/>
        </w:rPr>
        <w:t>,</w:t>
      </w:r>
      <w:r w:rsidRPr="00963ED8">
        <w:rPr>
          <w:lang w:val="fr-CA"/>
        </w:rPr>
        <w:t xml:space="preserve"> A</w:t>
      </w:r>
      <w:r>
        <w:rPr>
          <w:lang w:val="fr-CA"/>
        </w:rPr>
        <w:t>ndré,</w:t>
      </w:r>
      <w:r w:rsidRPr="00963ED8">
        <w:rPr>
          <w:lang w:val="fr-CA"/>
        </w:rPr>
        <w:t xml:space="preserve"> avec la collaboration de F</w:t>
      </w:r>
      <w:r>
        <w:rPr>
          <w:lang w:val="fr-CA"/>
        </w:rPr>
        <w:t>rédérique Le Colleter.</w:t>
      </w:r>
      <w:r w:rsidRPr="00963ED8">
        <w:rPr>
          <w:lang w:val="fr-CA"/>
        </w:rPr>
        <w:t xml:space="preserve"> </w:t>
      </w:r>
      <w:r w:rsidRPr="00963ED8">
        <w:rPr>
          <w:i/>
          <w:lang w:val="fr-CA"/>
        </w:rPr>
        <w:t>Guide des requêtes devant le juge unique de la Cour d</w:t>
      </w:r>
      <w:r w:rsidR="009F72D8">
        <w:rPr>
          <w:i/>
          <w:lang w:val="fr-CA"/>
        </w:rPr>
        <w:t>’</w:t>
      </w:r>
      <w:r w:rsidRPr="00963ED8">
        <w:rPr>
          <w:i/>
          <w:lang w:val="fr-CA"/>
        </w:rPr>
        <w:t>appel</w:t>
      </w:r>
      <w:r w:rsidR="000916C5">
        <w:rPr>
          <w:i/>
          <w:lang w:val="fr-CA"/>
        </w:rPr>
        <w:t> :</w:t>
      </w:r>
      <w:r w:rsidRPr="00963ED8">
        <w:rPr>
          <w:i/>
          <w:lang w:val="fr-CA"/>
        </w:rPr>
        <w:t xml:space="preserve"> Procédure et pratique</w:t>
      </w:r>
      <w:r>
        <w:rPr>
          <w:lang w:val="fr-CA"/>
        </w:rPr>
        <w:t>, Cowansville (Qc), Yvon Blais, 2013.</w:t>
      </w:r>
    </w:p>
    <w:p w:rsidR="00CA4392" w:rsidRPr="00CA4392" w:rsidRDefault="00CA4392" w:rsidP="00B820BA">
      <w:pPr>
        <w:pStyle w:val="SCCNormalDoubleSpacing"/>
        <w:spacing w:after="240" w:line="240" w:lineRule="auto"/>
        <w:ind w:left="540" w:hanging="540"/>
        <w:rPr>
          <w:lang w:val="en-US"/>
        </w:rPr>
      </w:pPr>
      <w:r w:rsidRPr="00CA4392">
        <w:rPr>
          <w:lang w:val="en-US"/>
        </w:rPr>
        <w:t>Sarna,</w:t>
      </w:r>
      <w:r w:rsidR="000916C5">
        <w:rPr>
          <w:lang w:val="en-US"/>
        </w:rPr>
        <w:t xml:space="preserve"> </w:t>
      </w:r>
      <w:r w:rsidRPr="00CA4392">
        <w:rPr>
          <w:lang w:val="en-US"/>
        </w:rPr>
        <w:t>Lazar.</w:t>
      </w:r>
      <w:r w:rsidR="000916C5">
        <w:rPr>
          <w:i/>
          <w:iCs/>
          <w:lang w:val="en-US"/>
        </w:rPr>
        <w:t xml:space="preserve"> The Law of Declaratory </w:t>
      </w:r>
      <w:r w:rsidRPr="00CA4392">
        <w:rPr>
          <w:i/>
          <w:iCs/>
          <w:lang w:val="en-US"/>
        </w:rPr>
        <w:t>Judgments</w:t>
      </w:r>
      <w:r w:rsidRPr="00CA4392">
        <w:rPr>
          <w:lang w:val="en-US"/>
        </w:rPr>
        <w:t>, 4th ed., Toronto, Thomson Reuters, 2016.</w:t>
      </w:r>
    </w:p>
    <w:p w:rsidR="00B60F88" w:rsidRPr="000123D1" w:rsidRDefault="00B60F88" w:rsidP="00B820BA">
      <w:pPr>
        <w:pStyle w:val="SCCNormalDoubleSpacing"/>
        <w:spacing w:after="240" w:line="240" w:lineRule="auto"/>
        <w:ind w:left="540" w:hanging="540"/>
        <w:rPr>
          <w:color w:val="000000"/>
          <w:szCs w:val="24"/>
          <w:lang w:val="fr-CA" w:eastAsia="en-US"/>
        </w:rPr>
      </w:pPr>
      <w:r w:rsidRPr="000916C5">
        <w:t>Saumier</w:t>
      </w:r>
      <w:r w:rsidR="00DF2C4D">
        <w:rPr>
          <w:color w:val="000000"/>
          <w:szCs w:val="24"/>
          <w:lang w:val="en-US" w:eastAsia="en-US"/>
        </w:rPr>
        <w:t xml:space="preserve">, Geneviève. </w:t>
      </w:r>
      <w:r w:rsidRPr="00B60F88">
        <w:rPr>
          <w:color w:val="000000"/>
          <w:szCs w:val="24"/>
          <w:lang w:val="en-US" w:eastAsia="en-US"/>
        </w:rPr>
        <w:t xml:space="preserve">« The Recognition of Foreign Judgments in Quebec — </w:t>
      </w:r>
      <w:proofErr w:type="gramStart"/>
      <w:r w:rsidRPr="00B60F88">
        <w:rPr>
          <w:color w:val="000000"/>
          <w:szCs w:val="24"/>
          <w:lang w:val="en-US" w:eastAsia="en-US"/>
        </w:rPr>
        <w:t>The</w:t>
      </w:r>
      <w:proofErr w:type="gramEnd"/>
      <w:r w:rsidRPr="00B60F88">
        <w:rPr>
          <w:color w:val="000000"/>
          <w:szCs w:val="24"/>
          <w:lang w:val="en-US" w:eastAsia="en-US"/>
        </w:rPr>
        <w:t xml:space="preserve"> Mirror Crack</w:t>
      </w:r>
      <w:r w:rsidR="009F72D8">
        <w:rPr>
          <w:color w:val="000000"/>
          <w:szCs w:val="24"/>
          <w:lang w:val="en-US" w:eastAsia="en-US"/>
        </w:rPr>
        <w:t>’</w:t>
      </w:r>
      <w:r w:rsidRPr="00B60F88">
        <w:rPr>
          <w:color w:val="000000"/>
          <w:szCs w:val="24"/>
          <w:lang w:val="en-US" w:eastAsia="en-US"/>
        </w:rPr>
        <w:t xml:space="preserve">d? » </w:t>
      </w:r>
      <w:r w:rsidRPr="000123D1">
        <w:rPr>
          <w:color w:val="000000"/>
          <w:szCs w:val="24"/>
          <w:lang w:val="fr-CA" w:eastAsia="en-US"/>
        </w:rPr>
        <w:t>(2002), 81 </w:t>
      </w:r>
      <w:r w:rsidRPr="000123D1">
        <w:rPr>
          <w:i/>
          <w:iCs/>
          <w:color w:val="000000"/>
          <w:szCs w:val="24"/>
          <w:lang w:val="fr-CA" w:eastAsia="en-US"/>
        </w:rPr>
        <w:t>R. du B. can. </w:t>
      </w:r>
      <w:r w:rsidRPr="000123D1">
        <w:rPr>
          <w:color w:val="000000"/>
          <w:szCs w:val="24"/>
          <w:lang w:val="fr-CA" w:eastAsia="en-US"/>
        </w:rPr>
        <w:t>677.</w:t>
      </w:r>
    </w:p>
    <w:p w:rsidR="00220C39" w:rsidRDefault="00802EDE" w:rsidP="00220C39">
      <w:pPr>
        <w:pStyle w:val="sccnormaldoublespacing0"/>
        <w:spacing w:before="0" w:beforeAutospacing="0" w:after="240" w:afterAutospacing="0"/>
        <w:ind w:left="540" w:hanging="540"/>
        <w:jc w:val="both"/>
        <w:rPr>
          <w:color w:val="000000"/>
          <w:lang w:val="fr-CA"/>
        </w:rPr>
      </w:pPr>
      <w:r>
        <w:rPr>
          <w:color w:val="000000"/>
          <w:lang w:val="fr-CA"/>
        </w:rPr>
        <w:t>Savoie, Réginald, et Louis</w:t>
      </w:r>
      <w:r>
        <w:rPr>
          <w:color w:val="000000"/>
          <w:lang w:val="fr-CA"/>
        </w:rPr>
        <w:noBreakHyphen/>
      </w:r>
      <w:r w:rsidR="00220C39" w:rsidRPr="00220C39">
        <w:rPr>
          <w:color w:val="000000"/>
          <w:lang w:val="fr-CA"/>
        </w:rPr>
        <w:t xml:space="preserve">Philippe Taschereau. </w:t>
      </w:r>
      <w:r w:rsidR="00220C39" w:rsidRPr="00220C39">
        <w:rPr>
          <w:i/>
          <w:color w:val="000000"/>
          <w:lang w:val="fr-CA"/>
        </w:rPr>
        <w:t>Procédure civile</w:t>
      </w:r>
      <w:r w:rsidR="00DF2C4D">
        <w:rPr>
          <w:color w:val="000000"/>
          <w:lang w:val="fr-CA"/>
        </w:rPr>
        <w:t>, t. </w:t>
      </w:r>
      <w:r w:rsidR="00220C39" w:rsidRPr="00220C39">
        <w:rPr>
          <w:color w:val="000000"/>
          <w:lang w:val="fr-CA"/>
        </w:rPr>
        <w:t xml:space="preserve">I, </w:t>
      </w:r>
      <w:r w:rsidR="00220C39" w:rsidRPr="00220C39">
        <w:rPr>
          <w:i/>
          <w:color w:val="000000"/>
          <w:lang w:val="fr-CA"/>
        </w:rPr>
        <w:t>Introduction, Théorie générale, Organisation judiciaire, Action en justice</w:t>
      </w:r>
      <w:r w:rsidR="00220C39" w:rsidRPr="00220C39">
        <w:rPr>
          <w:color w:val="000000"/>
          <w:lang w:val="fr-CA"/>
        </w:rPr>
        <w:t>, Montréal, Guérin, 1973.</w:t>
      </w:r>
    </w:p>
    <w:p w:rsidR="00084599" w:rsidRDefault="00084599" w:rsidP="00084599">
      <w:pPr>
        <w:pStyle w:val="SCCNormalDoubleSpacing"/>
        <w:spacing w:after="240" w:line="240" w:lineRule="auto"/>
        <w:ind w:left="540" w:hanging="540"/>
      </w:pPr>
      <w:r w:rsidRPr="00CA4392">
        <w:rPr>
          <w:lang w:val="en-US"/>
        </w:rPr>
        <w:t>Slattery, Brian.</w:t>
      </w:r>
      <w:r w:rsidRPr="00CA4392">
        <w:t xml:space="preserve"> </w:t>
      </w:r>
      <w:r w:rsidRPr="00CA4392">
        <w:rPr>
          <w:lang w:val="en-US"/>
        </w:rPr>
        <w:t>« </w:t>
      </w:r>
      <w:r w:rsidRPr="00CA4392">
        <w:t>The Constitutional Dimensions of Aboriginal Title</w:t>
      </w:r>
      <w:r w:rsidRPr="00CA4392">
        <w:rPr>
          <w:lang w:val="en-US"/>
        </w:rPr>
        <w:t> »</w:t>
      </w:r>
      <w:r w:rsidRPr="00CA4392">
        <w:t xml:space="preserve"> (2015), 71 </w:t>
      </w:r>
      <w:r w:rsidRPr="00CA4392">
        <w:rPr>
          <w:i/>
        </w:rPr>
        <w:t>S.C.L.R.</w:t>
      </w:r>
      <w:r w:rsidRPr="00CA4392">
        <w:t xml:space="preserve"> (2d) 45.</w:t>
      </w:r>
    </w:p>
    <w:p w:rsidR="00084599" w:rsidRDefault="00084599" w:rsidP="00084599">
      <w:pPr>
        <w:pStyle w:val="SCCNormalDoubleSpacing"/>
        <w:spacing w:after="240" w:line="240" w:lineRule="auto"/>
        <w:ind w:left="540" w:hanging="540"/>
        <w:rPr>
          <w:lang w:val="en-US"/>
        </w:rPr>
      </w:pPr>
      <w:r w:rsidRPr="000123D1">
        <w:rPr>
          <w:lang w:val="en-US"/>
        </w:rPr>
        <w:t xml:space="preserve">Slattery, Brian. </w:t>
      </w:r>
      <w:r>
        <w:t>«</w:t>
      </w:r>
      <w:r w:rsidRPr="002053EB">
        <w:t> </w:t>
      </w:r>
      <w:r>
        <w:rPr>
          <w:lang w:val="en-US"/>
        </w:rPr>
        <w:t>The Metamorphosis of Aboriginal Title</w:t>
      </w:r>
      <w:r>
        <w:t> »</w:t>
      </w:r>
      <w:r>
        <w:rPr>
          <w:lang w:val="en-US"/>
        </w:rPr>
        <w:t xml:space="preserve"> (2006), 85 </w:t>
      </w:r>
      <w:r>
        <w:rPr>
          <w:i/>
          <w:iCs/>
          <w:color w:val="000000"/>
        </w:rPr>
        <w:t>R. du B. can.</w:t>
      </w:r>
      <w:r>
        <w:rPr>
          <w:color w:val="000000"/>
        </w:rPr>
        <w:t xml:space="preserve"> </w:t>
      </w:r>
      <w:r>
        <w:rPr>
          <w:lang w:val="en-US"/>
        </w:rPr>
        <w:t>255.</w:t>
      </w:r>
    </w:p>
    <w:p w:rsidR="006445BD" w:rsidRPr="006445BD" w:rsidRDefault="006445BD" w:rsidP="006445BD">
      <w:pPr>
        <w:pStyle w:val="SCCNormalDoubleSpacing"/>
        <w:spacing w:after="240" w:line="240" w:lineRule="auto"/>
        <w:ind w:left="540" w:hanging="540"/>
        <w:rPr>
          <w:color w:val="000000"/>
          <w:lang w:val="en-US"/>
        </w:rPr>
      </w:pPr>
      <w:r w:rsidRPr="00A50888">
        <w:rPr>
          <w:color w:val="000000"/>
          <w:lang w:val="en-US"/>
        </w:rPr>
        <w:t xml:space="preserve">Slattery, Brian. </w:t>
      </w:r>
      <w:r w:rsidRPr="00906845">
        <w:rPr>
          <w:lang w:val="en-US"/>
        </w:rPr>
        <w:t>« </w:t>
      </w:r>
      <w:r>
        <w:rPr>
          <w:color w:val="000000"/>
          <w:lang w:val="en-US"/>
        </w:rPr>
        <w:t>The Nature of Aboriginal Title</w:t>
      </w:r>
      <w:r w:rsidRPr="00906845">
        <w:rPr>
          <w:lang w:val="en-US"/>
        </w:rPr>
        <w:t> »</w:t>
      </w:r>
      <w:r>
        <w:rPr>
          <w:color w:val="000000"/>
          <w:lang w:val="en-US"/>
        </w:rPr>
        <w:t>,</w:t>
      </w:r>
      <w:r w:rsidRPr="00A50888">
        <w:rPr>
          <w:color w:val="000000"/>
          <w:lang w:val="en-US"/>
        </w:rPr>
        <w:t xml:space="preserve"> </w:t>
      </w:r>
      <w:r>
        <w:rPr>
          <w:color w:val="000000"/>
          <w:lang w:val="en-US"/>
        </w:rPr>
        <w:t xml:space="preserve">in Owen Lippert, ed., </w:t>
      </w:r>
      <w:r>
        <w:rPr>
          <w:i/>
          <w:color w:val="000000"/>
          <w:lang w:val="en-US"/>
        </w:rPr>
        <w:t xml:space="preserve">Beyond the Nass </w:t>
      </w:r>
      <w:proofErr w:type="gramStart"/>
      <w:r>
        <w:rPr>
          <w:i/>
          <w:color w:val="000000"/>
          <w:lang w:val="en-US"/>
        </w:rPr>
        <w:t>Valley</w:t>
      </w:r>
      <w:r w:rsidRPr="00906845">
        <w:rPr>
          <w:lang w:val="en-US"/>
        </w:rPr>
        <w:t> </w:t>
      </w:r>
      <w:r>
        <w:rPr>
          <w:i/>
          <w:color w:val="000000"/>
          <w:lang w:val="en-US"/>
        </w:rPr>
        <w:t>:</w:t>
      </w:r>
      <w:proofErr w:type="gramEnd"/>
      <w:r>
        <w:rPr>
          <w:i/>
          <w:color w:val="000000"/>
          <w:lang w:val="en-US"/>
        </w:rPr>
        <w:t xml:space="preserve"> National Implications of the Supreme Court</w:t>
      </w:r>
      <w:r w:rsidR="009F72D8">
        <w:rPr>
          <w:i/>
          <w:color w:val="000000"/>
          <w:lang w:val="en-US"/>
        </w:rPr>
        <w:t>’</w:t>
      </w:r>
      <w:r>
        <w:rPr>
          <w:i/>
          <w:color w:val="000000"/>
          <w:lang w:val="en-US"/>
        </w:rPr>
        <w:t>s Delgamuukw Decision</w:t>
      </w:r>
      <w:r>
        <w:rPr>
          <w:color w:val="000000"/>
          <w:lang w:val="en-US"/>
        </w:rPr>
        <w:t>, Vancouver,</w:t>
      </w:r>
      <w:r w:rsidRPr="006445BD">
        <w:rPr>
          <w:color w:val="000000"/>
          <w:lang w:val="en-US"/>
        </w:rPr>
        <w:t xml:space="preserve"> Fraser Institute, 2000, 11.</w:t>
      </w:r>
    </w:p>
    <w:p w:rsidR="000862B0" w:rsidRDefault="000862B0" w:rsidP="000862B0">
      <w:pPr>
        <w:pStyle w:val="SCCNormalDoubleSpacing"/>
        <w:spacing w:after="240" w:line="240" w:lineRule="auto"/>
        <w:ind w:left="540" w:hanging="540"/>
      </w:pPr>
      <w:r>
        <w:lastRenderedPageBreak/>
        <w:t xml:space="preserve">Sullivan, R. E. </w:t>
      </w:r>
      <w:r w:rsidRPr="00CA4392">
        <w:rPr>
          <w:lang w:val="en-US"/>
        </w:rPr>
        <w:t>« </w:t>
      </w:r>
      <w:r>
        <w:t>Interpreting the Territorial Limitations on the Province</w:t>
      </w:r>
      <w:r w:rsidR="00F06567">
        <w:t>s</w:t>
      </w:r>
      <w:r w:rsidRPr="00CA4392">
        <w:rPr>
          <w:lang w:val="en-US"/>
        </w:rPr>
        <w:t> »</w:t>
      </w:r>
      <w:r>
        <w:t xml:space="preserve"> (1985), 7 </w:t>
      </w:r>
      <w:r>
        <w:rPr>
          <w:i/>
        </w:rPr>
        <w:t>S.C.L.R.</w:t>
      </w:r>
      <w:r>
        <w:t xml:space="preserve"> 511.</w:t>
      </w:r>
    </w:p>
    <w:p w:rsidR="00C83B09" w:rsidRDefault="00C83B09" w:rsidP="00C83B09">
      <w:pPr>
        <w:pStyle w:val="SCCNormalDoubleSpacing"/>
        <w:spacing w:after="240" w:line="240" w:lineRule="auto"/>
        <w:ind w:left="540" w:hanging="540"/>
      </w:pPr>
      <w:r>
        <w:t xml:space="preserve">Swan, John. </w:t>
      </w:r>
      <w:r w:rsidRPr="00CA4392">
        <w:rPr>
          <w:lang w:val="en-US"/>
        </w:rPr>
        <w:t>« </w:t>
      </w:r>
      <w:r>
        <w:t>The Canadian Constitution, Federalism and the Conflict of Laws</w:t>
      </w:r>
      <w:r w:rsidRPr="00CA4392">
        <w:rPr>
          <w:lang w:val="en-US"/>
        </w:rPr>
        <w:t> »</w:t>
      </w:r>
      <w:r>
        <w:t xml:space="preserve"> (1985), 63 </w:t>
      </w:r>
      <w:r>
        <w:rPr>
          <w:i/>
          <w:iCs/>
          <w:color w:val="000000"/>
        </w:rPr>
        <w:t xml:space="preserve">R. du B. can. </w:t>
      </w:r>
      <w:r>
        <w:rPr>
          <w:lang w:val="en-US"/>
        </w:rPr>
        <w:t>271.</w:t>
      </w:r>
    </w:p>
    <w:p w:rsidR="00CA4392" w:rsidRPr="00CA4392" w:rsidRDefault="00CA4392" w:rsidP="00B820BA">
      <w:pPr>
        <w:pStyle w:val="SCCNormalDoubleSpacing"/>
        <w:spacing w:after="240" w:line="240" w:lineRule="auto"/>
        <w:ind w:left="540" w:hanging="540"/>
        <w:rPr>
          <w:lang w:val="fr-CA"/>
        </w:rPr>
      </w:pPr>
      <w:r w:rsidRPr="00F422D5">
        <w:rPr>
          <w:lang w:val="fr-CA"/>
        </w:rPr>
        <w:t>Thivierge, Jean</w:t>
      </w:r>
      <w:r w:rsidR="000916C5" w:rsidRPr="00F422D5">
        <w:rPr>
          <w:lang w:val="fr-CA"/>
        </w:rPr>
        <w:noBreakHyphen/>
      </w:r>
      <w:r w:rsidRPr="00F422D5">
        <w:rPr>
          <w:lang w:val="fr-CA"/>
        </w:rPr>
        <w:t xml:space="preserve">Claude. </w:t>
      </w:r>
      <w:r w:rsidRPr="00CA4392">
        <w:rPr>
          <w:lang w:val="fr-CA"/>
        </w:rPr>
        <w:t xml:space="preserve">« La requête en jugement déclaratoire en droit immobilier », dans Service de la formation permanente — Barreau du Québec, </w:t>
      </w:r>
      <w:r w:rsidR="000916C5">
        <w:rPr>
          <w:lang w:val="fr-CA"/>
        </w:rPr>
        <w:t>vol. </w:t>
      </w:r>
      <w:r w:rsidRPr="00CA4392">
        <w:rPr>
          <w:lang w:val="fr-CA"/>
        </w:rPr>
        <w:t xml:space="preserve">103, </w:t>
      </w:r>
      <w:r w:rsidRPr="00CA4392">
        <w:rPr>
          <w:i/>
          <w:lang w:val="fr-CA"/>
        </w:rPr>
        <w:t>Développements récents en droit immobilier</w:t>
      </w:r>
      <w:r w:rsidRPr="00CA4392">
        <w:rPr>
          <w:lang w:val="fr-CA"/>
        </w:rPr>
        <w:t>, Cowansville (Qc), Yvon Blais, 1998, 37.</w:t>
      </w:r>
    </w:p>
    <w:p w:rsidR="00C675F7" w:rsidRDefault="000916C5" w:rsidP="00B820BA">
      <w:pPr>
        <w:pStyle w:val="SCCNormalDoubleSpacing"/>
        <w:spacing w:after="240" w:line="240" w:lineRule="auto"/>
        <w:ind w:left="540" w:hanging="540"/>
      </w:pPr>
      <w:r>
        <w:t xml:space="preserve">Walker, Janet. </w:t>
      </w:r>
      <w:r w:rsidR="00817F89" w:rsidRPr="00817F89">
        <w:rPr>
          <w:i/>
        </w:rPr>
        <w:t xml:space="preserve">Castel &amp; </w:t>
      </w:r>
      <w:proofErr w:type="gramStart"/>
      <w:r w:rsidR="00817F89" w:rsidRPr="00817F89">
        <w:rPr>
          <w:i/>
        </w:rPr>
        <w:t>Walker :</w:t>
      </w:r>
      <w:proofErr w:type="gramEnd"/>
      <w:r w:rsidR="00817F89" w:rsidRPr="00817F89">
        <w:t xml:space="preserve"> </w:t>
      </w:r>
      <w:r w:rsidR="00C675F7" w:rsidRPr="00817F89">
        <w:rPr>
          <w:i/>
          <w:iCs/>
        </w:rPr>
        <w:t>Canadian Conflict of Laws</w:t>
      </w:r>
      <w:r w:rsidR="00C675F7" w:rsidRPr="00A749AD">
        <w:t>,</w:t>
      </w:r>
      <w:r w:rsidR="002044B6" w:rsidRPr="00A749AD">
        <w:t xml:space="preserve"> vol. 1,</w:t>
      </w:r>
      <w:r w:rsidR="00C675F7" w:rsidRPr="00A749AD">
        <w:t xml:space="preserve"> 6th</w:t>
      </w:r>
      <w:r w:rsidR="00C675F7" w:rsidRPr="00C675F7">
        <w:t xml:space="preserve"> </w:t>
      </w:r>
      <w:r w:rsidR="00C675F7" w:rsidRPr="003150C5">
        <w:t xml:space="preserve">ed., </w:t>
      </w:r>
      <w:r w:rsidR="003150C5" w:rsidRPr="003150C5">
        <w:t>Toronto</w:t>
      </w:r>
      <w:r w:rsidR="00C675F7" w:rsidRPr="003150C5">
        <w:t>,</w:t>
      </w:r>
      <w:r w:rsidR="00C675F7" w:rsidRPr="00C675F7">
        <w:t xml:space="preserve"> LexisNexi</w:t>
      </w:r>
      <w:r w:rsidR="00C675F7">
        <w:t>s, 2005 (loose</w:t>
      </w:r>
      <w:r>
        <w:noBreakHyphen/>
      </w:r>
      <w:r w:rsidR="00242FD8">
        <w:t>leaf updated 2019, release 77</w:t>
      </w:r>
      <w:r w:rsidR="00C675F7" w:rsidRPr="00C675F7">
        <w:t>).</w:t>
      </w:r>
    </w:p>
    <w:p w:rsidR="00EC2DBD" w:rsidRDefault="00EC2DBD" w:rsidP="00EC2DBD">
      <w:pPr>
        <w:pStyle w:val="SCCNormalDoubleSpacing"/>
        <w:spacing w:after="240" w:line="240" w:lineRule="auto"/>
        <w:ind w:left="540" w:hanging="540"/>
        <w:rPr>
          <w:lang w:val="en-US"/>
        </w:rPr>
      </w:pPr>
      <w:r w:rsidRPr="00EC2DBD">
        <w:rPr>
          <w:lang w:val="en-US"/>
        </w:rPr>
        <w:t xml:space="preserve">Walters, Mark. « British Imperial Constitutional Law and Aboriginal </w:t>
      </w:r>
      <w:proofErr w:type="gramStart"/>
      <w:r w:rsidRPr="00EC2DBD">
        <w:rPr>
          <w:lang w:val="en-US"/>
        </w:rPr>
        <w:t>Rights :</w:t>
      </w:r>
      <w:proofErr w:type="gramEnd"/>
      <w:r w:rsidRPr="00EC2DBD">
        <w:rPr>
          <w:lang w:val="en-US"/>
        </w:rPr>
        <w:t xml:space="preserve"> A Comment on </w:t>
      </w:r>
      <w:r w:rsidRPr="00EC2DBD">
        <w:rPr>
          <w:i/>
          <w:lang w:val="en-US"/>
        </w:rPr>
        <w:t>Delgamuukw v. British Columbia</w:t>
      </w:r>
      <w:r w:rsidRPr="00EC2DBD">
        <w:rPr>
          <w:lang w:val="en-US"/>
        </w:rPr>
        <w:t xml:space="preserve"> » (1992), 17 </w:t>
      </w:r>
      <w:r w:rsidRPr="00EC2DBD">
        <w:rPr>
          <w:i/>
          <w:lang w:val="en-US"/>
        </w:rPr>
        <w:t>Queen</w:t>
      </w:r>
      <w:r w:rsidR="009F72D8">
        <w:rPr>
          <w:i/>
          <w:lang w:val="en-US"/>
        </w:rPr>
        <w:t>’</w:t>
      </w:r>
      <w:r w:rsidRPr="00EC2DBD">
        <w:rPr>
          <w:i/>
          <w:lang w:val="en-US"/>
        </w:rPr>
        <w:t xml:space="preserve">s L.J. </w:t>
      </w:r>
      <w:r w:rsidRPr="00EC2DBD">
        <w:rPr>
          <w:lang w:val="en-US"/>
        </w:rPr>
        <w:t>350.</w:t>
      </w:r>
    </w:p>
    <w:p w:rsidR="00EC2DBD" w:rsidRPr="00C675F7" w:rsidRDefault="00EC2DBD" w:rsidP="00EC2DBD">
      <w:pPr>
        <w:pStyle w:val="SCCNormalDoubleSpacing"/>
        <w:spacing w:after="240" w:line="240" w:lineRule="auto"/>
        <w:ind w:left="540" w:hanging="540"/>
        <w:rPr>
          <w:lang w:val="en-US"/>
        </w:rPr>
      </w:pPr>
      <w:r w:rsidRPr="00EC2DBD">
        <w:rPr>
          <w:lang w:val="en-US"/>
        </w:rPr>
        <w:t>Wass, Jack. « </w:t>
      </w:r>
      <w:r w:rsidRPr="00EC2DBD">
        <w:t>The Court</w:t>
      </w:r>
      <w:r w:rsidR="009F72D8">
        <w:t>’</w:t>
      </w:r>
      <w:r w:rsidRPr="00EC2DBD">
        <w:t xml:space="preserve">s </w:t>
      </w:r>
      <w:r w:rsidRPr="00EC2DBD">
        <w:rPr>
          <w:i/>
        </w:rPr>
        <w:t>In Personam</w:t>
      </w:r>
      <w:r w:rsidRPr="00EC2DBD">
        <w:t xml:space="preserve"> Jurisdiction in Cases Involving Foreign Land</w:t>
      </w:r>
      <w:r w:rsidRPr="00EC2DBD">
        <w:rPr>
          <w:lang w:val="en-US"/>
        </w:rPr>
        <w:t> »</w:t>
      </w:r>
      <w:r w:rsidRPr="00EC2DBD">
        <w:t xml:space="preserve"> </w:t>
      </w:r>
      <w:r w:rsidRPr="00EC2DBD">
        <w:rPr>
          <w:lang w:val="en-US"/>
        </w:rPr>
        <w:t xml:space="preserve">(2014), 63 </w:t>
      </w:r>
      <w:r w:rsidRPr="00EC2DBD">
        <w:rPr>
          <w:i/>
          <w:lang w:val="en-US"/>
        </w:rPr>
        <w:t>I.C.L.Q.</w:t>
      </w:r>
      <w:r w:rsidRPr="00EC2DBD">
        <w:rPr>
          <w:lang w:val="en-US"/>
        </w:rPr>
        <w:t xml:space="preserve"> 103.</w:t>
      </w:r>
    </w:p>
    <w:p w:rsidR="00E535C7" w:rsidRDefault="00E535C7" w:rsidP="00B820BA">
      <w:pPr>
        <w:pStyle w:val="SCCNormalDoubleSpacing"/>
        <w:spacing w:after="240" w:line="240" w:lineRule="auto"/>
        <w:ind w:left="540" w:hanging="540"/>
      </w:pPr>
      <w:r w:rsidRPr="002053EB">
        <w:t>Wa</w:t>
      </w:r>
      <w:r w:rsidR="00627B5E">
        <w:t>tson, Garry </w:t>
      </w:r>
      <w:r>
        <w:t>D., and Frank Au. «</w:t>
      </w:r>
      <w:r w:rsidRPr="002053EB">
        <w:t> C</w:t>
      </w:r>
      <w:r>
        <w:t xml:space="preserve">onstitutional Limits on Service </w:t>
      </w:r>
      <w:r w:rsidRPr="002053EB">
        <w:rPr>
          <w:i/>
          <w:iCs/>
        </w:rPr>
        <w:t xml:space="preserve">Ex </w:t>
      </w:r>
      <w:proofErr w:type="gramStart"/>
      <w:r w:rsidR="008E6A86" w:rsidRPr="002053EB">
        <w:rPr>
          <w:i/>
          <w:iCs/>
        </w:rPr>
        <w:t>Juris</w:t>
      </w:r>
      <w:r w:rsidR="008E6A86">
        <w:t> </w:t>
      </w:r>
      <w:r w:rsidR="008E6A86">
        <w:rPr>
          <w:i/>
          <w:iCs/>
        </w:rPr>
        <w:t>:</w:t>
      </w:r>
      <w:proofErr w:type="gramEnd"/>
      <w:r w:rsidRPr="002053EB">
        <w:rPr>
          <w:iCs/>
        </w:rPr>
        <w:t xml:space="preserve"> Unanswered Questions from</w:t>
      </w:r>
      <w:r w:rsidRPr="002053EB">
        <w:rPr>
          <w:i/>
          <w:iCs/>
        </w:rPr>
        <w:t xml:space="preserve"> Morguard</w:t>
      </w:r>
      <w:r>
        <w:t xml:space="preserve"> » (2000), 23 </w:t>
      </w:r>
      <w:r w:rsidRPr="002053EB">
        <w:rPr>
          <w:i/>
          <w:iCs/>
        </w:rPr>
        <w:t>Adv. Q.</w:t>
      </w:r>
      <w:r>
        <w:t xml:space="preserve"> </w:t>
      </w:r>
      <w:r w:rsidRPr="002053EB">
        <w:t>167.</w:t>
      </w:r>
    </w:p>
    <w:p w:rsidR="000D7722" w:rsidRDefault="00226C15" w:rsidP="00FB07DA">
      <w:pPr>
        <w:pStyle w:val="SCCNormalDoubleSpacing"/>
        <w:spacing w:after="240" w:line="240" w:lineRule="auto"/>
        <w:ind w:left="540" w:hanging="540"/>
      </w:pPr>
      <w:r>
        <w:t xml:space="preserve">Wilkins, Kerry. </w:t>
      </w:r>
      <w:r>
        <w:rPr>
          <w:i/>
        </w:rPr>
        <w:t>Essentials of Canadian Aboriginal Law</w:t>
      </w:r>
      <w:r>
        <w:t>, Toronto, Thomson Reuters, 2018.</w:t>
      </w:r>
    </w:p>
    <w:p w:rsidR="000D7722" w:rsidRPr="00AF384B" w:rsidRDefault="00627B5E" w:rsidP="00802EDE">
      <w:pPr>
        <w:pStyle w:val="SCCNormalDoubleSpacing"/>
        <w:spacing w:after="720" w:line="240" w:lineRule="auto"/>
        <w:ind w:left="547" w:hanging="547"/>
      </w:pPr>
      <w:r w:rsidRPr="00AF384B">
        <w:t xml:space="preserve">Ziff, Bruce. </w:t>
      </w:r>
      <w:r w:rsidR="000D7722" w:rsidRPr="00AF384B">
        <w:rPr>
          <w:i/>
        </w:rPr>
        <w:t>Principles of Property Law</w:t>
      </w:r>
      <w:r w:rsidR="000D7722" w:rsidRPr="00AF384B">
        <w:t>, 7th ed., Toronto, Thomson Reuters, 2018.</w:t>
      </w:r>
    </w:p>
    <w:p w:rsidR="004D7D95" w:rsidRPr="004D7D95" w:rsidRDefault="009471AB" w:rsidP="00802EDE">
      <w:pPr>
        <w:pStyle w:val="SCCNormalDoubleSpacing"/>
        <w:spacing w:after="480"/>
        <w:rPr>
          <w:lang w:val="fr-CA"/>
        </w:rPr>
      </w:pPr>
      <w:r w:rsidRPr="00AF384B">
        <w:tab/>
      </w:r>
      <w:r w:rsidR="004D7D95" w:rsidRPr="004D7D95">
        <w:rPr>
          <w:lang w:val="fr-CA"/>
        </w:rPr>
        <w:t xml:space="preserve">POURVOI contre un arrêt de la </w:t>
      </w:r>
      <w:r w:rsidR="004D7D95" w:rsidRPr="009471AB">
        <w:rPr>
          <w:lang w:val="fr-CA"/>
        </w:rPr>
        <w:t>Cour d</w:t>
      </w:r>
      <w:r w:rsidR="009F72D8">
        <w:rPr>
          <w:lang w:val="fr-CA"/>
        </w:rPr>
        <w:t>’</w:t>
      </w:r>
      <w:r w:rsidR="004D7D95" w:rsidRPr="009471AB">
        <w:rPr>
          <w:lang w:val="fr-CA"/>
        </w:rPr>
        <w:t>appel du Québec (</w:t>
      </w:r>
      <w:r w:rsidR="000C768E">
        <w:rPr>
          <w:lang w:val="fr-CA"/>
        </w:rPr>
        <w:t>les juges Morissette, Healy et Ruel</w:t>
      </w:r>
      <w:r>
        <w:rPr>
          <w:lang w:val="fr-CA"/>
        </w:rPr>
        <w:t>)</w:t>
      </w:r>
      <w:r w:rsidR="000C768E">
        <w:rPr>
          <w:lang w:val="fr-CA"/>
        </w:rPr>
        <w:t xml:space="preserve">, </w:t>
      </w:r>
      <w:r w:rsidR="00D0798C">
        <w:rPr>
          <w:lang w:val="fr-CA"/>
        </w:rPr>
        <w:t>2017 QC</w:t>
      </w:r>
      <w:r w:rsidR="000C768E" w:rsidRPr="000C768E">
        <w:rPr>
          <w:lang w:val="fr-CA"/>
        </w:rPr>
        <w:t xml:space="preserve">CA 1791, [2018] 4 C.N.L.R. 167, [2017] </w:t>
      </w:r>
      <w:r w:rsidR="005419CE">
        <w:rPr>
          <w:lang w:val="fr-CA"/>
        </w:rPr>
        <w:t xml:space="preserve">J.Q. </w:t>
      </w:r>
      <w:r w:rsidR="005419CE" w:rsidRPr="005419CE">
        <w:rPr>
          <w:color w:val="000000"/>
          <w:lang w:val="fr-CA"/>
        </w:rPr>
        <w:t>n</w:t>
      </w:r>
      <w:r w:rsidR="005419CE" w:rsidRPr="005419CE">
        <w:rPr>
          <w:color w:val="000000"/>
          <w:vertAlign w:val="superscript"/>
          <w:lang w:val="fr-CA"/>
        </w:rPr>
        <w:t>o</w:t>
      </w:r>
      <w:r w:rsidR="00F9096C">
        <w:rPr>
          <w:lang w:val="fr-CA"/>
        </w:rPr>
        <w:t> </w:t>
      </w:r>
      <w:r w:rsidR="000C768E" w:rsidRPr="000C768E">
        <w:rPr>
          <w:lang w:val="fr-CA"/>
        </w:rPr>
        <w:t>15881</w:t>
      </w:r>
      <w:r w:rsidR="000C768E">
        <w:rPr>
          <w:lang w:val="fr-CA"/>
        </w:rPr>
        <w:t xml:space="preserve"> </w:t>
      </w:r>
      <w:r w:rsidR="000C768E" w:rsidRPr="000C768E">
        <w:rPr>
          <w:lang w:val="fr-CA"/>
        </w:rPr>
        <w:t>(QL),</w:t>
      </w:r>
      <w:r w:rsidR="000C768E">
        <w:rPr>
          <w:lang w:val="fr-CA"/>
        </w:rPr>
        <w:t xml:space="preserve"> </w:t>
      </w:r>
      <w:r w:rsidR="000C768E" w:rsidRPr="000C768E">
        <w:rPr>
          <w:lang w:val="fr-CA"/>
        </w:rPr>
        <w:t xml:space="preserve">2017 CarswellQue </w:t>
      </w:r>
      <w:r w:rsidR="000C768E">
        <w:rPr>
          <w:lang w:val="fr-CA"/>
        </w:rPr>
        <w:t>10118</w:t>
      </w:r>
      <w:r w:rsidR="000C768E" w:rsidRPr="000C768E">
        <w:rPr>
          <w:lang w:val="fr-CA"/>
        </w:rPr>
        <w:t xml:space="preserve"> (</w:t>
      </w:r>
      <w:r w:rsidR="000C768E" w:rsidRPr="00580B41">
        <w:rPr>
          <w:lang w:val="fr-CA"/>
        </w:rPr>
        <w:t xml:space="preserve">WL Can.), </w:t>
      </w:r>
      <w:r w:rsidR="005419CE" w:rsidRPr="00580B41">
        <w:rPr>
          <w:lang w:val="fr-CA"/>
        </w:rPr>
        <w:t xml:space="preserve">qui a confirmé </w:t>
      </w:r>
      <w:r w:rsidR="000C768E" w:rsidRPr="00580B41">
        <w:rPr>
          <w:lang w:val="fr-CA"/>
        </w:rPr>
        <w:t>une décision</w:t>
      </w:r>
      <w:r w:rsidR="000C768E">
        <w:rPr>
          <w:lang w:val="fr-CA"/>
        </w:rPr>
        <w:t xml:space="preserve"> d</w:t>
      </w:r>
      <w:r w:rsidR="002F31B6">
        <w:rPr>
          <w:lang w:val="fr-CA"/>
        </w:rPr>
        <w:t>u jug</w:t>
      </w:r>
      <w:r w:rsidR="000C768E">
        <w:rPr>
          <w:lang w:val="fr-CA"/>
        </w:rPr>
        <w:t>e Davis</w:t>
      </w:r>
      <w:r w:rsidR="000C768E" w:rsidRPr="000C768E">
        <w:rPr>
          <w:lang w:val="fr-CA"/>
        </w:rPr>
        <w:t>, 2016 QCCS 5133, [201</w:t>
      </w:r>
      <w:r w:rsidR="005419CE">
        <w:rPr>
          <w:lang w:val="fr-CA"/>
        </w:rPr>
        <w:t xml:space="preserve">7] 4 C.N.L.R. 89, [2016] J.Q. </w:t>
      </w:r>
      <w:r w:rsidR="005419CE" w:rsidRPr="005419CE">
        <w:rPr>
          <w:color w:val="000000"/>
          <w:lang w:val="fr-CA"/>
        </w:rPr>
        <w:t>n</w:t>
      </w:r>
      <w:r w:rsidR="005419CE" w:rsidRPr="005419CE">
        <w:rPr>
          <w:color w:val="000000"/>
          <w:vertAlign w:val="superscript"/>
          <w:lang w:val="fr-CA"/>
        </w:rPr>
        <w:t>o</w:t>
      </w:r>
      <w:r w:rsidR="000C768E" w:rsidRPr="000C768E">
        <w:rPr>
          <w:lang w:val="fr-CA"/>
        </w:rPr>
        <w:t xml:space="preserve"> 14492 (QL), 2016 CarswellQue 10096 (WL Can.). </w:t>
      </w:r>
      <w:r w:rsidR="003D7347">
        <w:rPr>
          <w:lang w:val="fr-CA"/>
        </w:rPr>
        <w:t>Pourvoi</w:t>
      </w:r>
      <w:r w:rsidR="000C768E" w:rsidRPr="000C768E">
        <w:rPr>
          <w:lang w:val="fr-CA"/>
        </w:rPr>
        <w:t xml:space="preserve"> </w:t>
      </w:r>
      <w:r w:rsidR="00414BDF" w:rsidRPr="00202683">
        <w:rPr>
          <w:lang w:val="fr-CA"/>
        </w:rPr>
        <w:t>rejeté</w:t>
      </w:r>
      <w:r w:rsidR="00974E79" w:rsidRPr="00202683">
        <w:rPr>
          <w:lang w:val="fr-CA"/>
        </w:rPr>
        <w:t>, les juges Moldaver, Côté, Brown et Rowe sont dissidents</w:t>
      </w:r>
      <w:r w:rsidR="000C768E" w:rsidRPr="00202683">
        <w:rPr>
          <w:lang w:val="fr-CA"/>
        </w:rPr>
        <w:t>.</w:t>
      </w:r>
    </w:p>
    <w:p w:rsidR="00103A53" w:rsidRPr="009471AB" w:rsidRDefault="00D36A59" w:rsidP="00B820BA">
      <w:pPr>
        <w:pStyle w:val="SCCNormalDoubleSpacing"/>
        <w:spacing w:after="480"/>
        <w:rPr>
          <w:lang w:val="fr-CA"/>
        </w:rPr>
      </w:pPr>
      <w:r w:rsidRPr="009471AB">
        <w:rPr>
          <w:rStyle w:val="SCCCounselNameChar"/>
          <w:lang w:val="fr-CA"/>
        </w:rPr>
        <w:tab/>
        <w:t>Maxime Faille</w:t>
      </w:r>
      <w:r w:rsidR="007C4A5B">
        <w:rPr>
          <w:rStyle w:val="SCCCounselNameChar"/>
          <w:i w:val="0"/>
          <w:lang w:val="fr-CA"/>
        </w:rPr>
        <w:t>,</w:t>
      </w:r>
      <w:r w:rsidRPr="009471AB">
        <w:rPr>
          <w:rStyle w:val="SCCCounselSeparatorChar"/>
          <w:lang w:val="fr-CA"/>
        </w:rPr>
        <w:t xml:space="preserve"> </w:t>
      </w:r>
      <w:r w:rsidRPr="009471AB">
        <w:rPr>
          <w:rStyle w:val="SCCCounselNameChar"/>
          <w:lang w:val="fr-CA"/>
        </w:rPr>
        <w:t>Guy Régimbald</w:t>
      </w:r>
      <w:r w:rsidR="007C4A5B">
        <w:rPr>
          <w:rStyle w:val="SCCCounselNameChar"/>
          <w:lang w:val="fr-CA"/>
        </w:rPr>
        <w:t xml:space="preserve"> </w:t>
      </w:r>
      <w:r w:rsidR="007C4A5B">
        <w:rPr>
          <w:rStyle w:val="SCCCounselNameChar"/>
          <w:i w:val="0"/>
          <w:lang w:val="fr-CA"/>
        </w:rPr>
        <w:t xml:space="preserve">et </w:t>
      </w:r>
      <w:r w:rsidR="007C4A5B">
        <w:rPr>
          <w:rStyle w:val="SCCCounselNameChar"/>
          <w:lang w:val="fr-CA"/>
        </w:rPr>
        <w:t>Justin Mellor</w:t>
      </w:r>
      <w:r w:rsidRPr="009471AB">
        <w:rPr>
          <w:rStyle w:val="SCCCounselPartyRoleChar"/>
          <w:lang w:val="fr-CA"/>
        </w:rPr>
        <w:t>, pour l</w:t>
      </w:r>
      <w:r w:rsidR="009F72D8">
        <w:rPr>
          <w:rStyle w:val="SCCCounselPartyRoleChar"/>
          <w:lang w:val="fr-CA"/>
        </w:rPr>
        <w:t>’</w:t>
      </w:r>
      <w:r w:rsidR="007C4A5B">
        <w:rPr>
          <w:rStyle w:val="SCCCounselPartyRoleChar"/>
          <w:lang w:val="fr-CA"/>
        </w:rPr>
        <w:t>appelant</w:t>
      </w:r>
      <w:r w:rsidRPr="009471AB">
        <w:rPr>
          <w:rStyle w:val="SCCCounselPartyRoleChar"/>
          <w:lang w:val="fr-CA"/>
        </w:rPr>
        <w:t>.</w:t>
      </w:r>
    </w:p>
    <w:p w:rsidR="00CD5094" w:rsidRPr="00CD5094" w:rsidRDefault="00D36A59" w:rsidP="00B820BA">
      <w:pPr>
        <w:pStyle w:val="SCCNormalDoubleSpacing"/>
        <w:spacing w:after="480"/>
        <w:rPr>
          <w:b/>
          <w:lang w:val="fr-CA"/>
        </w:rPr>
      </w:pPr>
      <w:r w:rsidRPr="009471AB">
        <w:rPr>
          <w:rStyle w:val="SCCCounselNameChar"/>
          <w:lang w:val="fr-CA"/>
        </w:rPr>
        <w:tab/>
        <w:t>Jean</w:t>
      </w:r>
      <w:r w:rsidR="000916C5">
        <w:rPr>
          <w:rStyle w:val="SCCCounselNameChar"/>
          <w:lang w:val="fr-CA"/>
        </w:rPr>
        <w:noBreakHyphen/>
      </w:r>
      <w:r w:rsidRPr="009471AB">
        <w:rPr>
          <w:rStyle w:val="SCCCounselNameChar"/>
          <w:lang w:val="fr-CA"/>
        </w:rPr>
        <w:t>François Bertrand</w:t>
      </w:r>
      <w:r w:rsidRPr="009471AB">
        <w:rPr>
          <w:rStyle w:val="SCCCounselSeparatorChar"/>
          <w:lang w:val="fr-CA"/>
        </w:rPr>
        <w:t xml:space="preserve">, </w:t>
      </w:r>
      <w:r w:rsidRPr="009471AB">
        <w:rPr>
          <w:rStyle w:val="SCCCounselNameChar"/>
          <w:lang w:val="fr-CA"/>
        </w:rPr>
        <w:t>James</w:t>
      </w:r>
      <w:r w:rsidR="00A6524A">
        <w:rPr>
          <w:rStyle w:val="SCCCounselNameChar"/>
          <w:lang w:val="fr-CA"/>
        </w:rPr>
        <w:t> </w:t>
      </w:r>
      <w:r w:rsidRPr="009471AB">
        <w:rPr>
          <w:rStyle w:val="SCCCounselNameChar"/>
          <w:lang w:val="fr-CA"/>
        </w:rPr>
        <w:t>A. O</w:t>
      </w:r>
      <w:r w:rsidR="009F72D8">
        <w:rPr>
          <w:rStyle w:val="SCCCounselNameChar"/>
          <w:lang w:val="fr-CA"/>
        </w:rPr>
        <w:t>’</w:t>
      </w:r>
      <w:r w:rsidRPr="009471AB">
        <w:rPr>
          <w:rStyle w:val="SCCCounselNameChar"/>
          <w:lang w:val="fr-CA"/>
        </w:rPr>
        <w:t>Reilly</w:t>
      </w:r>
      <w:r w:rsidRPr="009471AB">
        <w:rPr>
          <w:rStyle w:val="SCCCounselNameChar"/>
          <w:i w:val="0"/>
          <w:lang w:val="fr-CA"/>
        </w:rPr>
        <w:t>,</w:t>
      </w:r>
      <w:r w:rsidRPr="009471AB">
        <w:rPr>
          <w:rStyle w:val="SCCCounselNameChar"/>
          <w:lang w:val="fr-CA"/>
        </w:rPr>
        <w:t xml:space="preserve"> </w:t>
      </w:r>
      <w:r w:rsidR="007C4A5B" w:rsidRPr="009471AB">
        <w:rPr>
          <w:rStyle w:val="SCCCounselNameChar"/>
          <w:lang w:val="fr-CA"/>
        </w:rPr>
        <w:t>François Lévesque</w:t>
      </w:r>
      <w:r w:rsidR="007C4A5B" w:rsidRPr="009471AB">
        <w:rPr>
          <w:rStyle w:val="SCCCounselPartyRoleChar"/>
          <w:lang w:val="fr-CA"/>
        </w:rPr>
        <w:t xml:space="preserve">, </w:t>
      </w:r>
      <w:r w:rsidR="007C4A5B">
        <w:rPr>
          <w:rStyle w:val="SCCCounselPartyRoleChar"/>
          <w:i/>
          <w:lang w:val="fr-CA"/>
        </w:rPr>
        <w:t xml:space="preserve">Sophia </w:t>
      </w:r>
      <w:r w:rsidR="007C4A5B" w:rsidRPr="007C4A5B">
        <w:rPr>
          <w:rStyle w:val="SCCCounselPartyRoleChar"/>
          <w:i/>
          <w:lang w:val="fr-CA"/>
        </w:rPr>
        <w:t>Ladovrechis</w:t>
      </w:r>
      <w:r w:rsidR="007C4A5B">
        <w:rPr>
          <w:rStyle w:val="SCCCounselPartyRoleChar"/>
          <w:lang w:val="fr-CA"/>
        </w:rPr>
        <w:t xml:space="preserve"> </w:t>
      </w:r>
      <w:r w:rsidRPr="007C4A5B">
        <w:rPr>
          <w:rStyle w:val="SCCCounselSeparatorChar"/>
          <w:lang w:val="fr-CA"/>
        </w:rPr>
        <w:t>et</w:t>
      </w:r>
      <w:r w:rsidRPr="009471AB">
        <w:rPr>
          <w:rStyle w:val="SCCCounselSeparatorChar"/>
          <w:lang w:val="fr-CA"/>
        </w:rPr>
        <w:t xml:space="preserve"> </w:t>
      </w:r>
      <w:r w:rsidRPr="009471AB">
        <w:rPr>
          <w:rStyle w:val="SCCCounselNameChar"/>
          <w:lang w:val="fr-CA"/>
        </w:rPr>
        <w:t>Marie</w:t>
      </w:r>
      <w:r w:rsidR="000916C5">
        <w:rPr>
          <w:rStyle w:val="SCCCounselNameChar"/>
          <w:lang w:val="fr-CA"/>
        </w:rPr>
        <w:noBreakHyphen/>
      </w:r>
      <w:r w:rsidRPr="009471AB">
        <w:rPr>
          <w:rStyle w:val="SCCCounselNameChar"/>
          <w:lang w:val="fr-CA"/>
        </w:rPr>
        <w:t>Claude André</w:t>
      </w:r>
      <w:r w:rsidR="000916C5">
        <w:rPr>
          <w:rStyle w:val="SCCCounselNameChar"/>
          <w:lang w:val="fr-CA"/>
        </w:rPr>
        <w:noBreakHyphen/>
      </w:r>
      <w:r w:rsidRPr="009471AB">
        <w:rPr>
          <w:rStyle w:val="SCCCounselNameChar"/>
          <w:lang w:val="fr-CA"/>
        </w:rPr>
        <w:t>Grégoire</w:t>
      </w:r>
      <w:r w:rsidRPr="009471AB">
        <w:rPr>
          <w:rStyle w:val="SCCCounselPartyRoleChar"/>
          <w:lang w:val="fr-CA"/>
        </w:rPr>
        <w:t>, pour l</w:t>
      </w:r>
      <w:r w:rsidR="00CD5094">
        <w:rPr>
          <w:rStyle w:val="SCCCounselPartyRoleChar"/>
          <w:lang w:val="fr-CA"/>
        </w:rPr>
        <w:t>es intimés</w:t>
      </w:r>
      <w:r w:rsidR="00CD5094">
        <w:rPr>
          <w:rStyle w:val="SCCRespondentForIndexChar"/>
          <w:b w:val="0"/>
          <w:lang w:val="fr-CA"/>
        </w:rPr>
        <w:t>.</w:t>
      </w:r>
    </w:p>
    <w:p w:rsidR="007C4A5B" w:rsidRDefault="007C4A5B" w:rsidP="00B820BA">
      <w:pPr>
        <w:pStyle w:val="SCCNormalDoubleSpacing"/>
        <w:spacing w:after="480"/>
        <w:rPr>
          <w:rStyle w:val="SCCCounselPartyRoleChar"/>
          <w:lang w:val="fr-CA"/>
        </w:rPr>
      </w:pPr>
      <w:r>
        <w:rPr>
          <w:rStyle w:val="SCCCounselNameChar"/>
          <w:lang w:val="fr-CA"/>
        </w:rPr>
        <w:lastRenderedPageBreak/>
        <w:tab/>
      </w:r>
      <w:r w:rsidRPr="009471AB">
        <w:rPr>
          <w:rStyle w:val="SCCCounselNameChar"/>
          <w:lang w:val="fr-CA"/>
        </w:rPr>
        <w:t>Ian Demers</w:t>
      </w:r>
      <w:r w:rsidRPr="009471AB">
        <w:rPr>
          <w:rStyle w:val="SCCCounselPartyRoleChar"/>
          <w:lang w:val="fr-CA"/>
        </w:rPr>
        <w:t>, pour l</w:t>
      </w:r>
      <w:r w:rsidR="009F72D8">
        <w:rPr>
          <w:rStyle w:val="SCCCounselPartyRoleChar"/>
          <w:lang w:val="fr-CA"/>
        </w:rPr>
        <w:t>’</w:t>
      </w:r>
      <w:r>
        <w:rPr>
          <w:rStyle w:val="SCCCounselPartyRoleChar"/>
          <w:lang w:val="fr-CA"/>
        </w:rPr>
        <w:t>intervenant le p</w:t>
      </w:r>
      <w:r w:rsidRPr="009471AB">
        <w:rPr>
          <w:rStyle w:val="SCCCounselPartyRoleChar"/>
          <w:lang w:val="fr-CA"/>
        </w:rPr>
        <w:t>rocureur général du Canada.</w:t>
      </w:r>
    </w:p>
    <w:p w:rsidR="007C4A5B" w:rsidRDefault="007C4A5B" w:rsidP="00B820BA">
      <w:pPr>
        <w:pStyle w:val="SCCNormalDoubleSpacing"/>
        <w:spacing w:after="480"/>
        <w:rPr>
          <w:rStyle w:val="SCCCounselPartyRoleChar"/>
          <w:lang w:val="fr-CA"/>
        </w:rPr>
      </w:pPr>
      <w:r w:rsidRPr="00DC7601">
        <w:rPr>
          <w:rStyle w:val="SCCCounselNameChar"/>
          <w:lang w:val="fr-CA"/>
        </w:rPr>
        <w:tab/>
      </w:r>
      <w:r w:rsidR="00DC7601" w:rsidRPr="00DC7601">
        <w:rPr>
          <w:lang w:val="fr-CA"/>
        </w:rPr>
        <w:t>Personne n</w:t>
      </w:r>
      <w:r w:rsidR="009F72D8">
        <w:rPr>
          <w:lang w:val="fr-CA"/>
        </w:rPr>
        <w:t>’</w:t>
      </w:r>
      <w:r w:rsidR="00DC7601" w:rsidRPr="00DC7601">
        <w:rPr>
          <w:lang w:val="fr-CA"/>
        </w:rPr>
        <w:t xml:space="preserve">a comparu pour </w:t>
      </w:r>
      <w:r w:rsidRPr="00DC7601">
        <w:rPr>
          <w:rStyle w:val="SCCCounselPartyRoleChar"/>
          <w:lang w:val="fr-CA"/>
        </w:rPr>
        <w:t>l</w:t>
      </w:r>
      <w:r w:rsidR="009F72D8">
        <w:rPr>
          <w:rStyle w:val="SCCCounselPartyRoleChar"/>
          <w:lang w:val="fr-CA"/>
        </w:rPr>
        <w:t>’</w:t>
      </w:r>
      <w:r w:rsidRPr="00DC7601">
        <w:rPr>
          <w:rStyle w:val="SCCCounselPartyRoleChar"/>
          <w:lang w:val="fr-CA"/>
        </w:rPr>
        <w:t>intervenante la procureure générale du Québec.</w:t>
      </w:r>
    </w:p>
    <w:p w:rsidR="007C4A5B" w:rsidRPr="009471AB" w:rsidRDefault="007C4A5B" w:rsidP="00B820BA">
      <w:pPr>
        <w:pStyle w:val="SCCNormalDoubleSpacing"/>
        <w:spacing w:after="480"/>
        <w:rPr>
          <w:lang w:val="fr-CA"/>
        </w:rPr>
      </w:pPr>
      <w:r w:rsidRPr="009471AB">
        <w:rPr>
          <w:rStyle w:val="SCCCounselNameChar"/>
          <w:lang w:val="fr-CA"/>
        </w:rPr>
        <w:tab/>
        <w:t>Jeff Echols</w:t>
      </w:r>
      <w:r>
        <w:rPr>
          <w:rStyle w:val="SCCCounselNameChar"/>
          <w:lang w:val="fr-CA"/>
        </w:rPr>
        <w:t xml:space="preserve"> </w:t>
      </w:r>
      <w:r>
        <w:rPr>
          <w:rStyle w:val="SCCCounselNameChar"/>
          <w:i w:val="0"/>
          <w:lang w:val="fr-CA"/>
        </w:rPr>
        <w:t xml:space="preserve">et </w:t>
      </w:r>
      <w:r>
        <w:rPr>
          <w:rStyle w:val="SCCCounselNameChar"/>
          <w:lang w:val="fr-CA"/>
        </w:rPr>
        <w:t>Chris Robb</w:t>
      </w:r>
      <w:r w:rsidRPr="009471AB">
        <w:rPr>
          <w:rStyle w:val="SCCCounselPartyRoleChar"/>
          <w:lang w:val="fr-CA"/>
        </w:rPr>
        <w:t>, pour l</w:t>
      </w:r>
      <w:r w:rsidR="009F72D8">
        <w:rPr>
          <w:rStyle w:val="SCCCounselPartyRoleChar"/>
          <w:lang w:val="fr-CA"/>
        </w:rPr>
        <w:t>’</w:t>
      </w:r>
      <w:r>
        <w:rPr>
          <w:rStyle w:val="SCCCounselPartyRoleChar"/>
          <w:lang w:val="fr-CA"/>
        </w:rPr>
        <w:t>intervenant le p</w:t>
      </w:r>
      <w:r w:rsidRPr="009471AB">
        <w:rPr>
          <w:rStyle w:val="SCCCounselPartyRoleChar"/>
          <w:lang w:val="fr-CA"/>
        </w:rPr>
        <w:t>rocureur général de la Colombie</w:t>
      </w:r>
      <w:r w:rsidR="000916C5">
        <w:rPr>
          <w:rStyle w:val="SCCCounselPartyRoleChar"/>
          <w:lang w:val="fr-CA"/>
        </w:rPr>
        <w:noBreakHyphen/>
      </w:r>
      <w:r w:rsidRPr="009471AB">
        <w:rPr>
          <w:rStyle w:val="SCCCounselPartyRoleChar"/>
          <w:lang w:val="fr-CA"/>
        </w:rPr>
        <w:t>Britannique.</w:t>
      </w:r>
    </w:p>
    <w:p w:rsidR="00103A53" w:rsidRPr="009471AB" w:rsidRDefault="00D36A59" w:rsidP="00B820BA">
      <w:pPr>
        <w:pStyle w:val="SCCNormalDoubleSpacing"/>
        <w:spacing w:after="480"/>
        <w:rPr>
          <w:lang w:val="fr-CA"/>
        </w:rPr>
      </w:pPr>
      <w:r w:rsidRPr="009471AB">
        <w:rPr>
          <w:rStyle w:val="SCCCounselNameChar"/>
          <w:lang w:val="fr-CA"/>
        </w:rPr>
        <w:tab/>
        <w:t>François Fontaine</w:t>
      </w:r>
      <w:r w:rsidRPr="009471AB">
        <w:rPr>
          <w:rStyle w:val="SCCCounselSeparatorChar"/>
          <w:lang w:val="fr-CA"/>
        </w:rPr>
        <w:t xml:space="preserve"> et </w:t>
      </w:r>
      <w:r w:rsidR="00905E01">
        <w:rPr>
          <w:rStyle w:val="SCCCounselNameChar"/>
          <w:lang w:val="fr-CA"/>
        </w:rPr>
        <w:t>Andres</w:t>
      </w:r>
      <w:r w:rsidRPr="00CF4E1E">
        <w:rPr>
          <w:rStyle w:val="SCCCounselNameChar"/>
          <w:lang w:val="fr-CA"/>
        </w:rPr>
        <w:t xml:space="preserve"> Garin</w:t>
      </w:r>
      <w:r w:rsidRPr="00CF4E1E">
        <w:rPr>
          <w:rStyle w:val="SCCCounselPartyRoleChar"/>
          <w:lang w:val="fr-CA"/>
        </w:rPr>
        <w:t>, pour l</w:t>
      </w:r>
      <w:r w:rsidR="007C4A5B" w:rsidRPr="00CF4E1E">
        <w:rPr>
          <w:rStyle w:val="SCCCounselPartyRoleChar"/>
          <w:lang w:val="fr-CA"/>
        </w:rPr>
        <w:t xml:space="preserve">es </w:t>
      </w:r>
      <w:r w:rsidR="009471AB" w:rsidRPr="00CF4E1E">
        <w:rPr>
          <w:rStyle w:val="SCCCounselPartyRoleChar"/>
          <w:lang w:val="fr-CA"/>
        </w:rPr>
        <w:t>intervenante</w:t>
      </w:r>
      <w:r w:rsidR="007C4A5B" w:rsidRPr="00CF4E1E">
        <w:rPr>
          <w:rStyle w:val="SCCCounselPartyRoleChar"/>
          <w:lang w:val="fr-CA"/>
        </w:rPr>
        <w:t>s</w:t>
      </w:r>
      <w:r w:rsidR="009471AB" w:rsidRPr="00CF4E1E">
        <w:rPr>
          <w:rStyle w:val="SCCCounselPartyRoleChar"/>
          <w:lang w:val="fr-CA"/>
        </w:rPr>
        <w:t xml:space="preserve"> la</w:t>
      </w:r>
      <w:r w:rsidR="007C4A5B" w:rsidRPr="00CF4E1E">
        <w:rPr>
          <w:rStyle w:val="SCCCounselPartyRoleChar"/>
          <w:lang w:val="fr-CA"/>
        </w:rPr>
        <w:t xml:space="preserve"> Compagnie minière IOC et la </w:t>
      </w:r>
      <w:r w:rsidRPr="00CF4E1E">
        <w:rPr>
          <w:rStyle w:val="SCCCounselPartyRoleChar"/>
          <w:lang w:val="fr-CA"/>
        </w:rPr>
        <w:t>Compagnie de</w:t>
      </w:r>
      <w:r w:rsidRPr="009471AB">
        <w:rPr>
          <w:rStyle w:val="SCCCounselPartyRoleChar"/>
          <w:lang w:val="fr-CA"/>
        </w:rPr>
        <w:t xml:space="preserve"> chemin de fer du littoral nor</w:t>
      </w:r>
      <w:r w:rsidR="002F31B6">
        <w:rPr>
          <w:rStyle w:val="SCCCounselPartyRoleChar"/>
          <w:lang w:val="fr-CA"/>
        </w:rPr>
        <w:t>d de Québec et du Labrador inc.</w:t>
      </w:r>
    </w:p>
    <w:p w:rsidR="00103A53" w:rsidRPr="009471AB" w:rsidRDefault="00D36A59" w:rsidP="00B820BA">
      <w:pPr>
        <w:pStyle w:val="SCCNormalDoubleSpacing"/>
        <w:spacing w:after="480"/>
        <w:rPr>
          <w:lang w:val="fr-CA"/>
        </w:rPr>
      </w:pPr>
      <w:r w:rsidRPr="009471AB">
        <w:rPr>
          <w:rStyle w:val="SCCCounselNameChar"/>
          <w:lang w:val="fr-CA"/>
        </w:rPr>
        <w:tab/>
        <w:t>Eamon</w:t>
      </w:r>
      <w:r w:rsidR="00A6524A">
        <w:rPr>
          <w:rStyle w:val="SCCCounselNameChar"/>
          <w:lang w:val="fr-CA"/>
        </w:rPr>
        <w:t xml:space="preserve"> </w:t>
      </w:r>
      <w:r w:rsidRPr="009471AB">
        <w:rPr>
          <w:rStyle w:val="SCCCounselNameChar"/>
          <w:lang w:val="fr-CA"/>
        </w:rPr>
        <w:t>Murphy</w:t>
      </w:r>
      <w:r w:rsidRPr="009471AB">
        <w:rPr>
          <w:rStyle w:val="SCCCounselSeparatorChar"/>
          <w:lang w:val="fr-CA"/>
        </w:rPr>
        <w:t xml:space="preserve"> et </w:t>
      </w:r>
      <w:r w:rsidRPr="009471AB">
        <w:rPr>
          <w:rStyle w:val="SCCCounselNameChar"/>
          <w:lang w:val="fr-CA"/>
        </w:rPr>
        <w:t>Peter</w:t>
      </w:r>
      <w:r w:rsidR="00627B5E">
        <w:rPr>
          <w:rStyle w:val="SCCCounselNameChar"/>
          <w:lang w:val="fr-CA"/>
        </w:rPr>
        <w:t> </w:t>
      </w:r>
      <w:r w:rsidR="00974E79" w:rsidRPr="00905E01">
        <w:rPr>
          <w:rStyle w:val="SCCCounselNameChar"/>
          <w:lang w:val="fr-CA"/>
        </w:rPr>
        <w:t>W.</w:t>
      </w:r>
      <w:r w:rsidRPr="009471AB">
        <w:rPr>
          <w:rStyle w:val="SCCCounselNameChar"/>
          <w:lang w:val="fr-CA"/>
        </w:rPr>
        <w:t xml:space="preserve"> Jones</w:t>
      </w:r>
      <w:r w:rsidRPr="009471AB">
        <w:rPr>
          <w:rStyle w:val="SCCCounselPartyRoleChar"/>
          <w:lang w:val="fr-CA"/>
        </w:rPr>
        <w:t>, pour l</w:t>
      </w:r>
      <w:r w:rsidR="009471AB">
        <w:rPr>
          <w:rStyle w:val="SCCCounselPartyRoleChar"/>
          <w:lang w:val="fr-CA"/>
        </w:rPr>
        <w:t>es intervenants</w:t>
      </w:r>
      <w:r w:rsidRPr="009471AB">
        <w:rPr>
          <w:rStyle w:val="SCCCounselPartyRoleChar"/>
          <w:lang w:val="fr-CA"/>
        </w:rPr>
        <w:t xml:space="preserve"> Kitigan Zibi </w:t>
      </w:r>
      <w:r w:rsidRPr="00EC2DC7">
        <w:rPr>
          <w:rStyle w:val="SCCCounselPartyRoleChar"/>
          <w:lang w:val="fr-CA"/>
        </w:rPr>
        <w:t>Anishinabeg et l</w:t>
      </w:r>
      <w:r w:rsidR="009471AB" w:rsidRPr="00EC2DC7">
        <w:rPr>
          <w:rStyle w:val="SCCCounselPartyRoleChar"/>
          <w:lang w:val="fr-CA"/>
        </w:rPr>
        <w:t xml:space="preserve">e </w:t>
      </w:r>
      <w:r w:rsidRPr="00EC2DC7">
        <w:rPr>
          <w:rStyle w:val="SCCCounselPartyRoleChar"/>
          <w:lang w:val="fr-CA"/>
        </w:rPr>
        <w:t>Conseil</w:t>
      </w:r>
      <w:r w:rsidRPr="009471AB">
        <w:rPr>
          <w:rStyle w:val="SCCCounselPartyRoleChar"/>
          <w:lang w:val="fr-CA"/>
        </w:rPr>
        <w:t xml:space="preserve"> tribal de la nation algonquine Anishinabeg.</w:t>
      </w:r>
    </w:p>
    <w:p w:rsidR="00103A53" w:rsidRPr="009471AB" w:rsidRDefault="00D36A59" w:rsidP="00B820BA">
      <w:pPr>
        <w:pStyle w:val="SCCNormalDoubleSpacing"/>
        <w:spacing w:after="480"/>
        <w:rPr>
          <w:lang w:val="fr-CA"/>
        </w:rPr>
      </w:pPr>
      <w:r w:rsidRPr="009471AB">
        <w:rPr>
          <w:rStyle w:val="SCCCounselNameChar"/>
          <w:lang w:val="fr-CA"/>
        </w:rPr>
        <w:tab/>
      </w:r>
      <w:r w:rsidR="007C4A5B" w:rsidRPr="009471AB">
        <w:rPr>
          <w:rStyle w:val="SCCCounselNameChar"/>
          <w:lang w:val="fr-CA"/>
        </w:rPr>
        <w:t>Perri Ravon</w:t>
      </w:r>
      <w:r w:rsidR="007C4A5B" w:rsidRPr="009471AB">
        <w:rPr>
          <w:rStyle w:val="SCCCounselPartyRoleChar"/>
          <w:lang w:val="fr-CA"/>
        </w:rPr>
        <w:t xml:space="preserve">, </w:t>
      </w:r>
      <w:r w:rsidR="007C4A5B" w:rsidRPr="007C4A5B">
        <w:rPr>
          <w:rStyle w:val="SCCCounselNameChar"/>
          <w:lang w:val="fr-CA"/>
        </w:rPr>
        <w:t>Ryan Beaton</w:t>
      </w:r>
      <w:r w:rsidRPr="009471AB">
        <w:rPr>
          <w:rStyle w:val="SCCCounselSeparatorChar"/>
          <w:lang w:val="fr-CA"/>
        </w:rPr>
        <w:t xml:space="preserve"> et </w:t>
      </w:r>
      <w:r w:rsidR="007C4A5B">
        <w:rPr>
          <w:rStyle w:val="SCCCounselSeparatorChar"/>
          <w:i/>
          <w:lang w:val="fr-CA"/>
        </w:rPr>
        <w:t xml:space="preserve">Audrey </w:t>
      </w:r>
      <w:r w:rsidR="007C4A5B" w:rsidRPr="007C4A5B">
        <w:rPr>
          <w:rStyle w:val="SCCCounselSeparatorChar"/>
          <w:i/>
          <w:lang w:val="fr-CA"/>
        </w:rPr>
        <w:t>Mayrand</w:t>
      </w:r>
      <w:r w:rsidR="007C4A5B">
        <w:rPr>
          <w:rStyle w:val="SCCCounselSeparatorChar"/>
          <w:lang w:val="fr-CA"/>
        </w:rPr>
        <w:t xml:space="preserve">, </w:t>
      </w:r>
      <w:r w:rsidRPr="007C4A5B">
        <w:rPr>
          <w:rStyle w:val="SCCCounselPartyRoleChar"/>
          <w:lang w:val="fr-CA"/>
        </w:rPr>
        <w:t>pour</w:t>
      </w:r>
      <w:r w:rsidRPr="009471AB">
        <w:rPr>
          <w:rStyle w:val="SCCCounselPartyRoleChar"/>
          <w:lang w:val="fr-CA"/>
        </w:rPr>
        <w:t xml:space="preserve"> l</w:t>
      </w:r>
      <w:r w:rsidR="009F72D8">
        <w:rPr>
          <w:rStyle w:val="SCCCounselPartyRoleChar"/>
          <w:lang w:val="fr-CA"/>
        </w:rPr>
        <w:t>’</w:t>
      </w:r>
      <w:r w:rsidR="009471AB">
        <w:rPr>
          <w:rStyle w:val="SCCCounselPartyRoleChar"/>
          <w:lang w:val="fr-CA"/>
        </w:rPr>
        <w:t>intervenan</w:t>
      </w:r>
      <w:r w:rsidR="009471AB" w:rsidRPr="009C12DF">
        <w:rPr>
          <w:rStyle w:val="SCCCounselPartyRoleChar"/>
          <w:lang w:val="fr-CA"/>
        </w:rPr>
        <w:t>te</w:t>
      </w:r>
      <w:r w:rsidRPr="009471AB">
        <w:rPr>
          <w:rStyle w:val="SCCCounselPartyRoleChar"/>
          <w:lang w:val="fr-CA"/>
        </w:rPr>
        <w:t xml:space="preserve"> Amnistie </w:t>
      </w:r>
      <w:r w:rsidR="00974E79">
        <w:rPr>
          <w:rStyle w:val="SCCCounselPartyRoleChar"/>
          <w:lang w:val="fr-CA"/>
        </w:rPr>
        <w:t>i</w:t>
      </w:r>
      <w:r w:rsidRPr="009471AB">
        <w:rPr>
          <w:rStyle w:val="SCCCounselPartyRoleChar"/>
          <w:lang w:val="fr-CA"/>
        </w:rPr>
        <w:t>nternationale Canada.</w:t>
      </w:r>
    </w:p>
    <w:p w:rsidR="00103A53" w:rsidRDefault="00A6524A" w:rsidP="00CF3116">
      <w:pPr>
        <w:pStyle w:val="SCCNormalDoubleSpacing"/>
        <w:spacing w:after="480"/>
        <w:rPr>
          <w:rStyle w:val="SCCCounselPartyRoleChar"/>
          <w:lang w:val="fr-CA"/>
        </w:rPr>
      </w:pPr>
      <w:r>
        <w:rPr>
          <w:rStyle w:val="SCCCounselNameChar"/>
          <w:lang w:val="fr-CA"/>
        </w:rPr>
        <w:tab/>
        <w:t>John </w:t>
      </w:r>
      <w:r w:rsidR="00D36A59" w:rsidRPr="009471AB">
        <w:rPr>
          <w:rStyle w:val="SCCCounselNameChar"/>
          <w:lang w:val="fr-CA"/>
        </w:rPr>
        <w:t>W. Gailus</w:t>
      </w:r>
      <w:r w:rsidR="007C4A5B">
        <w:rPr>
          <w:rStyle w:val="SCCCounselNameChar"/>
          <w:lang w:val="fr-CA"/>
        </w:rPr>
        <w:t xml:space="preserve"> </w:t>
      </w:r>
      <w:r w:rsidR="007C4A5B">
        <w:rPr>
          <w:rStyle w:val="SCCCounselNameChar"/>
          <w:i w:val="0"/>
          <w:lang w:val="fr-CA"/>
        </w:rPr>
        <w:t xml:space="preserve">et </w:t>
      </w:r>
      <w:r w:rsidR="007C4A5B">
        <w:rPr>
          <w:rStyle w:val="SCCCounselNameChar"/>
          <w:lang w:val="fr-CA"/>
        </w:rPr>
        <w:t>Christopher Devlin</w:t>
      </w:r>
      <w:r w:rsidR="00D36A59" w:rsidRPr="009471AB">
        <w:rPr>
          <w:rStyle w:val="SCCCounselPartyRoleChar"/>
          <w:lang w:val="fr-CA"/>
        </w:rPr>
        <w:t>, pour l</w:t>
      </w:r>
      <w:r w:rsidR="009F72D8">
        <w:rPr>
          <w:rStyle w:val="SCCCounselPartyRoleChar"/>
          <w:lang w:val="fr-CA"/>
        </w:rPr>
        <w:t>’</w:t>
      </w:r>
      <w:r w:rsidR="00EC2DC7">
        <w:rPr>
          <w:rStyle w:val="SCCCounselPartyRoleChar"/>
          <w:lang w:val="fr-CA"/>
        </w:rPr>
        <w:t>intervenante</w:t>
      </w:r>
      <w:r w:rsidR="00D36A59" w:rsidRPr="009471AB">
        <w:rPr>
          <w:rStyle w:val="SCCCounselPartyRoleChar"/>
          <w:lang w:val="fr-CA"/>
        </w:rPr>
        <w:t xml:space="preserve"> Tsawout First Nation.</w:t>
      </w:r>
    </w:p>
    <w:p w:rsidR="00CF3116" w:rsidRDefault="00C64452" w:rsidP="00C64452">
      <w:pPr>
        <w:pStyle w:val="SCCNormalDoubleSpacing"/>
        <w:spacing w:after="480"/>
        <w:rPr>
          <w:lang w:val="fr-CA"/>
        </w:rPr>
      </w:pPr>
      <w:r>
        <w:rPr>
          <w:lang w:val="fr-CA"/>
        </w:rPr>
        <w:tab/>
      </w:r>
      <w:r w:rsidR="00CF3116" w:rsidRPr="004C5EED">
        <w:rPr>
          <w:lang w:val="fr-CA"/>
        </w:rPr>
        <w:t xml:space="preserve">Version française du jugement du juge en chef Wagner et des juges </w:t>
      </w:r>
      <w:r w:rsidR="00CF3116" w:rsidRPr="00DB69E6">
        <w:rPr>
          <w:lang w:val="fr-CA"/>
        </w:rPr>
        <w:t xml:space="preserve">Abella, </w:t>
      </w:r>
      <w:r w:rsidR="00CF3116">
        <w:rPr>
          <w:lang w:val="fr-CA"/>
        </w:rPr>
        <w:t xml:space="preserve">Karakatsanis, Gascon et </w:t>
      </w:r>
      <w:r w:rsidR="00CF3116" w:rsidRPr="00DB69E6">
        <w:rPr>
          <w:lang w:val="fr-CA"/>
        </w:rPr>
        <w:t>Martin </w:t>
      </w:r>
      <w:r w:rsidR="00CF3116" w:rsidRPr="004C5EED">
        <w:rPr>
          <w:lang w:val="fr-CA"/>
        </w:rPr>
        <w:t>rendu par</w:t>
      </w:r>
    </w:p>
    <w:p w:rsidR="00CF3116" w:rsidRPr="007B79E3" w:rsidRDefault="00771C5F" w:rsidP="00771C5F">
      <w:pPr>
        <w:pStyle w:val="ParaNoNdepar-AltN"/>
        <w:rPr>
          <w:lang w:val="fr-CA"/>
        </w:rPr>
      </w:pPr>
      <w:r w:rsidRPr="00C64452">
        <w:rPr>
          <w:rFonts w:cs="Times New Roman"/>
          <w:smallCaps/>
          <w:szCs w:val="24"/>
          <w:lang w:val="fr-CA"/>
        </w:rPr>
        <w:t>Le juge en chef et les juges Abella et Karakatsanis</w:t>
      </w:r>
      <w:r w:rsidRPr="00771C5F">
        <w:rPr>
          <w:rFonts w:cs="Times New Roman"/>
          <w:szCs w:val="24"/>
          <w:lang w:val="fr-CA"/>
        </w:rPr>
        <w:t xml:space="preserve"> —</w:t>
      </w:r>
      <w:r>
        <w:rPr>
          <w:rFonts w:cs="Times New Roman"/>
          <w:szCs w:val="24"/>
          <w:lang w:val="fr-CA"/>
        </w:rPr>
        <w:t xml:space="preserve"> </w:t>
      </w:r>
      <w:r w:rsidR="00CF3116" w:rsidRPr="007B79E3">
        <w:rPr>
          <w:lang w:val="fr-CA"/>
        </w:rPr>
        <w:t xml:space="preserve">Le présent pourvoi soulève des questions d’une importance fondamentale sur le déroulement au </w:t>
      </w:r>
      <w:r w:rsidR="00CF3116" w:rsidRPr="007B79E3">
        <w:rPr>
          <w:lang w:val="fr-CA"/>
        </w:rPr>
        <w:lastRenderedPageBreak/>
        <w:t>Canada des instances civiles qui traitent des droits ancestraux. Cela a des répercussions sur l’accès à la justice et sur la capacité des peuples autochtones de revendiquer utilement leurs droits constitutionnels dans le cadre du système judiciaire. Il faut trouver un juste équilibre entre les différents principes en jeu, gardant à l’esprit l’histoire et la nature uniques des droits ancestraux au Canada.</w:t>
      </w:r>
    </w:p>
    <w:p w:rsidR="00CF3116" w:rsidRPr="007B79E3" w:rsidRDefault="00CF3116" w:rsidP="00CF3116">
      <w:pPr>
        <w:pStyle w:val="Title1LevelTitre1Niveau-AltL"/>
        <w:numPr>
          <w:ilvl w:val="0"/>
          <w:numId w:val="8"/>
        </w:numPr>
        <w:spacing w:before="0"/>
        <w:jc w:val="both"/>
        <w:rPr>
          <w:rFonts w:cs="Times New Roman"/>
          <w:szCs w:val="24"/>
          <w:lang w:val="fr-CA"/>
        </w:rPr>
      </w:pPr>
      <w:r w:rsidRPr="007B79E3">
        <w:rPr>
          <w:rFonts w:cs="Times New Roman"/>
          <w:szCs w:val="24"/>
          <w:lang w:val="fr-CA"/>
        </w:rPr>
        <w:t>Contexte</w:t>
      </w:r>
    </w:p>
    <w:p w:rsidR="00CF3116" w:rsidRPr="007B79E3" w:rsidRDefault="00CF3116" w:rsidP="00CF3116">
      <w:pPr>
        <w:pStyle w:val="Title2LevelTitre2Niveau"/>
        <w:numPr>
          <w:ilvl w:val="1"/>
          <w:numId w:val="8"/>
        </w:numPr>
        <w:spacing w:before="0"/>
        <w:jc w:val="both"/>
        <w:rPr>
          <w:rFonts w:cs="Times New Roman"/>
          <w:szCs w:val="24"/>
          <w:lang w:val="fr-CA"/>
        </w:rPr>
      </w:pPr>
      <w:r w:rsidRPr="007B79E3">
        <w:rPr>
          <w:rFonts w:cs="Times New Roman"/>
          <w:szCs w:val="24"/>
          <w:lang w:val="fr-CA"/>
        </w:rPr>
        <w:t>Les parties</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Les Innus de Uashat et de Mani</w:t>
      </w:r>
      <w:r w:rsidRPr="007B79E3">
        <w:rPr>
          <w:rFonts w:cs="Times New Roman"/>
          <w:szCs w:val="24"/>
          <w:lang w:val="fr-CA"/>
        </w:rPr>
        <w:noBreakHyphen/>
        <w:t>Utenam et les Innus de Matimekush</w:t>
      </w:r>
      <w:r>
        <w:rPr>
          <w:rFonts w:cs="Times New Roman"/>
          <w:szCs w:val="24"/>
          <w:lang w:val="fr-CA"/>
        </w:rPr>
        <w:noBreakHyphen/>
      </w:r>
      <w:r w:rsidRPr="007B79E3">
        <w:rPr>
          <w:rFonts w:cs="Times New Roman"/>
          <w:szCs w:val="24"/>
          <w:lang w:val="fr-CA"/>
        </w:rPr>
        <w:t>Lac John sont deux Premières Nations distinctes qui affirment occuper depuis des temps immémoriaux un territoire traditionnel qu’ils appellent le Nitassinan. Ce territoire chevauche la frontière qui sépare les provinces du Québec et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La majeure partie de ce territoire est intégrée au Bas</w:t>
      </w:r>
      <w:r w:rsidRPr="007B79E3">
        <w:rPr>
          <w:rFonts w:cs="Times New Roman"/>
          <w:szCs w:val="24"/>
          <w:lang w:val="fr-CA"/>
        </w:rPr>
        <w:noBreakHyphen/>
        <w:t>Canada en 1791, lequel devient à son tour le Québec en 1867. En 1927, le Conseil privé précise la frontière entre le Labrador — qui faisait alors partie de la colonie britannique de Terre</w:t>
      </w:r>
      <w:r w:rsidRPr="007B79E3">
        <w:rPr>
          <w:rFonts w:cs="Times New Roman"/>
          <w:szCs w:val="24"/>
          <w:lang w:val="fr-CA"/>
        </w:rPr>
        <w:noBreakHyphen/>
        <w:t>Neuve — et le Québec. Terre</w:t>
      </w:r>
      <w:r w:rsidRPr="007B79E3">
        <w:rPr>
          <w:rFonts w:cs="Times New Roman"/>
          <w:szCs w:val="24"/>
          <w:lang w:val="fr-CA"/>
        </w:rPr>
        <w:noBreakHyphen/>
        <w:t>Neuve (qui incluait le Labrador) se joint au Canada en tant que province en 1949 et change son nom à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 en 2001.</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Au début des années 1950, les intervenantes, la Compagnie minière </w:t>
      </w:r>
      <w:r>
        <w:rPr>
          <w:rFonts w:cs="Times New Roman"/>
          <w:szCs w:val="24"/>
          <w:lang w:val="fr-CA"/>
        </w:rPr>
        <w:t xml:space="preserve">IOC </w:t>
      </w:r>
      <w:r w:rsidRPr="007B79E3">
        <w:rPr>
          <w:rFonts w:cs="Times New Roman"/>
          <w:szCs w:val="24"/>
          <w:lang w:val="fr-CA"/>
        </w:rPr>
        <w:t>et la Compagnie de chemin de fer du littoral nord de Québec et du Labrador (« </w:t>
      </w:r>
      <w:r>
        <w:rPr>
          <w:rFonts w:cs="Times New Roman"/>
          <w:szCs w:val="24"/>
          <w:lang w:val="fr-CA"/>
        </w:rPr>
        <w:t xml:space="preserve">compagnies </w:t>
      </w:r>
      <w:r w:rsidRPr="007B79E3">
        <w:rPr>
          <w:rFonts w:cs="Times New Roman"/>
          <w:szCs w:val="24"/>
          <w:lang w:val="fr-CA"/>
        </w:rPr>
        <w:t xml:space="preserve">minières »), amorcent la première phase de ce qu’on a appelé le </w:t>
      </w:r>
      <w:r w:rsidRPr="007B79E3">
        <w:rPr>
          <w:rFonts w:cs="Times New Roman"/>
          <w:szCs w:val="24"/>
          <w:lang w:val="fr-CA"/>
        </w:rPr>
        <w:lastRenderedPageBreak/>
        <w:t>« mégaprojet d’IOC ». Aujourd’hui, ce mégaprojet comprend de nombreuses mines à ciel ouvert exploitées auparavant près du petit village de Schefferville, au Québec; neuf mines à ciel ouvert et des installations connexes près de Labrador City, à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 un port, un chemin de fer et des installations industrielles à Sept</w:t>
      </w:r>
      <w:r w:rsidRPr="007B79E3">
        <w:rPr>
          <w:rFonts w:cs="Times New Roman"/>
          <w:szCs w:val="24"/>
          <w:lang w:val="fr-CA"/>
        </w:rPr>
        <w:noBreakHyphen/>
        <w:t>Îles, au Québec; et plus de 600 km de chemin de fer sillonnant les deux provinces. Il continue à prendre de l’expansion.</w:t>
      </w:r>
    </w:p>
    <w:p w:rsidR="00CF3116" w:rsidRPr="007B79E3" w:rsidRDefault="00CF3116" w:rsidP="00CF3116">
      <w:pPr>
        <w:pStyle w:val="Title2LevelTitre2Niveau"/>
        <w:numPr>
          <w:ilvl w:val="1"/>
          <w:numId w:val="8"/>
        </w:numPr>
        <w:spacing w:before="0"/>
        <w:jc w:val="both"/>
        <w:rPr>
          <w:rFonts w:cs="Times New Roman"/>
          <w:szCs w:val="24"/>
          <w:lang w:val="fr-CA"/>
        </w:rPr>
      </w:pPr>
      <w:r w:rsidRPr="007B79E3">
        <w:rPr>
          <w:rFonts w:cs="Times New Roman"/>
          <w:szCs w:val="24"/>
          <w:lang w:val="fr-CA"/>
        </w:rPr>
        <w:t>La demande</w:t>
      </w:r>
    </w:p>
    <w:p w:rsidR="00CF3116" w:rsidRPr="007B79E3" w:rsidRDefault="00CF3116" w:rsidP="00CF3116">
      <w:pPr>
        <w:pStyle w:val="ParaNoNdepar-AltN"/>
        <w:widowControl w:val="0"/>
        <w:tabs>
          <w:tab w:val="clear" w:pos="1152"/>
          <w:tab w:val="num" w:pos="1170"/>
        </w:tabs>
        <w:spacing w:before="0"/>
        <w:ind w:left="86"/>
        <w:rPr>
          <w:rFonts w:cs="Times New Roman"/>
          <w:szCs w:val="24"/>
          <w:lang w:val="fr-CA"/>
        </w:rPr>
      </w:pPr>
      <w:r w:rsidRPr="007B79E3">
        <w:rPr>
          <w:rFonts w:cs="Times New Roman"/>
          <w:szCs w:val="24"/>
          <w:lang w:val="fr-CA"/>
        </w:rPr>
        <w:t>En 2013, les Innus de Uashat et de Mani</w:t>
      </w:r>
      <w:r w:rsidRPr="007B79E3">
        <w:rPr>
          <w:rFonts w:cs="Times New Roman"/>
          <w:szCs w:val="24"/>
          <w:lang w:val="fr-CA"/>
        </w:rPr>
        <w:noBreakHyphen/>
        <w:t xml:space="preserve">Utenam, les Innus de Matimekush-Lac John ainsi que plusieurs chefs et conseillers représentant leurs familles, bandes et nations respectives intentent une poursuite contre les </w:t>
      </w:r>
      <w:r>
        <w:rPr>
          <w:rFonts w:cs="Times New Roman"/>
          <w:szCs w:val="24"/>
          <w:lang w:val="fr-CA"/>
        </w:rPr>
        <w:t>compagnies</w:t>
      </w:r>
      <w:r w:rsidRPr="007B79E3">
        <w:rPr>
          <w:rFonts w:cs="Times New Roman"/>
          <w:szCs w:val="24"/>
          <w:lang w:val="fr-CA"/>
        </w:rPr>
        <w:t xml:space="preserve"> minières devant la Cour supérieure du Québec, à Montréal.</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Dans leur demande introductive d’instance, les Innus, qui sont intimés dans la présente cause (« Innus »), affirment occuper, posséder et gérer le Nitassinan selon leurs coutumes, leurs traditions et leurs pratiques depuis des temps immémoriaux. Ils revendiquent le droit d’utiliser et d’occuper de façon exclusive les terres visées par le mégaprojet d’IOC, ce qui comprend des droits de chasse, de pêche et de piégeage. Ils revendiquent également le droit d’utiliser toutes les ressources naturelles qui se trouvent sur le territoire et d’en jouir. Les Innus soutiennent que le mégaprojet d’IOC a été entrepris sans leur consentement, et ils allèguent une longue liste d’atteintes à l’environnement qui nuisent selon eux à leurs activités, les empêchant de jouir de leur territoire. Ils avancent que les </w:t>
      </w:r>
      <w:r>
        <w:rPr>
          <w:rFonts w:cs="Times New Roman"/>
          <w:szCs w:val="24"/>
          <w:lang w:val="fr-CA"/>
        </w:rPr>
        <w:t>compagnies</w:t>
      </w:r>
      <w:r w:rsidRPr="007B79E3">
        <w:rPr>
          <w:rFonts w:cs="Times New Roman"/>
          <w:szCs w:val="24"/>
          <w:lang w:val="fr-CA"/>
        </w:rPr>
        <w:t xml:space="preserve"> minières ont mis en place des politiques discriminatoires et qu’elles les empêchent de circuler librement sur le Nitassinan.</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À titre de réparations pour ces préjudices allégués, les Innus sollicitent notamment les mesures suivantes :</w:t>
      </w:r>
    </w:p>
    <w:p w:rsidR="00CF3116" w:rsidRPr="007B79E3" w:rsidRDefault="00CF3116" w:rsidP="005D0B5D">
      <w:pPr>
        <w:pStyle w:val="Citation-AltC"/>
        <w:numPr>
          <w:ilvl w:val="0"/>
          <w:numId w:val="31"/>
        </w:numPr>
        <w:spacing w:after="480" w:line="480" w:lineRule="auto"/>
        <w:ind w:hanging="720"/>
        <w:contextualSpacing w:val="0"/>
        <w:rPr>
          <w:lang w:val="fr-CA"/>
        </w:rPr>
      </w:pPr>
      <w:r w:rsidRPr="007B79E3">
        <w:rPr>
          <w:lang w:val="fr-CA"/>
        </w:rPr>
        <w:t xml:space="preserve">une injonction permanente contre les </w:t>
      </w:r>
      <w:r>
        <w:rPr>
          <w:lang w:val="fr-CA"/>
        </w:rPr>
        <w:t>compagnies</w:t>
      </w:r>
      <w:r w:rsidRPr="007B79E3">
        <w:rPr>
          <w:lang w:val="fr-CA"/>
        </w:rPr>
        <w:t xml:space="preserve"> minières leur ordonnant de cesser tous les travaux liés au mégaprojet d’IOC;</w:t>
      </w:r>
    </w:p>
    <w:p w:rsidR="00CF3116" w:rsidRPr="007B79E3" w:rsidRDefault="00CF3116" w:rsidP="000D1FBC">
      <w:pPr>
        <w:pStyle w:val="Citation-AltC"/>
        <w:numPr>
          <w:ilvl w:val="0"/>
          <w:numId w:val="31"/>
        </w:numPr>
        <w:spacing w:after="480" w:line="480" w:lineRule="auto"/>
        <w:ind w:hanging="720"/>
        <w:contextualSpacing w:val="0"/>
        <w:rPr>
          <w:lang w:val="fr-CA"/>
        </w:rPr>
      </w:pPr>
      <w:r w:rsidRPr="007B79E3">
        <w:rPr>
          <w:lang w:val="fr-CA"/>
        </w:rPr>
        <w:t>des dommages</w:t>
      </w:r>
      <w:r w:rsidRPr="007B79E3">
        <w:rPr>
          <w:lang w:val="fr-CA"/>
        </w:rPr>
        <w:noBreakHyphen/>
        <w:t>intérêts de 900 millions de dollars;</w:t>
      </w:r>
    </w:p>
    <w:p w:rsidR="00CF3116" w:rsidRPr="007B79E3" w:rsidRDefault="00CF3116" w:rsidP="000D1FBC">
      <w:pPr>
        <w:pStyle w:val="Citation-AltC"/>
        <w:numPr>
          <w:ilvl w:val="0"/>
          <w:numId w:val="31"/>
        </w:numPr>
        <w:spacing w:after="480" w:line="480" w:lineRule="auto"/>
        <w:ind w:hanging="720"/>
        <w:contextualSpacing w:val="0"/>
        <w:rPr>
          <w:lang w:val="fr-CA"/>
        </w:rPr>
      </w:pPr>
      <w:r w:rsidRPr="007B79E3">
        <w:rPr>
          <w:lang w:val="fr-CA"/>
        </w:rPr>
        <w:t>un jugement déclaratoire portant que le mégaprojet d’IOC constitue une violation de leur titre ancestral et d’autres droits ancestraux.</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Bien que l’acte de procédure mentionne le Nitassinan en général, il précise aussi que seul le territoire touché par le mégaprojet d’IOC est en cause dans la présente action.</w:t>
      </w:r>
    </w:p>
    <w:p w:rsidR="00CF3116" w:rsidRPr="007B79E3" w:rsidRDefault="00CF3116" w:rsidP="00CF3116">
      <w:pPr>
        <w:pStyle w:val="Title2LevelTitre2Niveau"/>
        <w:numPr>
          <w:ilvl w:val="1"/>
          <w:numId w:val="8"/>
        </w:numPr>
        <w:spacing w:before="0"/>
        <w:jc w:val="both"/>
        <w:rPr>
          <w:rFonts w:cs="Times New Roman"/>
          <w:szCs w:val="24"/>
          <w:lang w:val="fr-CA"/>
        </w:rPr>
      </w:pPr>
      <w:r w:rsidRPr="007B79E3">
        <w:rPr>
          <w:rFonts w:cs="Times New Roman"/>
          <w:szCs w:val="24"/>
          <w:lang w:val="fr-CA"/>
        </w:rPr>
        <w:t>Les requêtes en radiation</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Plus tard, les </w:t>
      </w:r>
      <w:r>
        <w:rPr>
          <w:rFonts w:cs="Times New Roman"/>
          <w:szCs w:val="24"/>
          <w:lang w:val="fr-CA"/>
        </w:rPr>
        <w:t>compagnies</w:t>
      </w:r>
      <w:r w:rsidRPr="007B79E3">
        <w:rPr>
          <w:rFonts w:cs="Times New Roman"/>
          <w:szCs w:val="24"/>
          <w:lang w:val="fr-CA"/>
        </w:rPr>
        <w:t xml:space="preserve"> minières déposent une requête en radiation d’allégations contenues dans l’acte de procédure des Innus. Selon elles, certaines portions de la demande concernent des droits réels sur des terres situées à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 et, en conséquence, elles relèvent de la compétence des tribunaux de cette province. Dans la foulée du dépôt de cette requête, le procureur général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 xml:space="preserve">Labrador dépose une déclaration d’intervention volontaire ainsi que sa propre requête en radiation reprenant essentiellement à son compte les arguments des </w:t>
      </w:r>
      <w:r>
        <w:rPr>
          <w:rFonts w:cs="Times New Roman"/>
          <w:szCs w:val="24"/>
          <w:lang w:val="fr-CA"/>
        </w:rPr>
        <w:t>compagnies</w:t>
      </w:r>
      <w:r w:rsidRPr="007B79E3">
        <w:rPr>
          <w:rFonts w:cs="Times New Roman"/>
          <w:szCs w:val="24"/>
          <w:lang w:val="fr-CA"/>
        </w:rPr>
        <w:t xml:space="preserve"> minières.</w:t>
      </w:r>
    </w:p>
    <w:p w:rsidR="00CF3116" w:rsidRPr="007B79E3" w:rsidRDefault="00CF3116" w:rsidP="00CF3116">
      <w:pPr>
        <w:pStyle w:val="Title2LevelTitre2Niveau"/>
        <w:numPr>
          <w:ilvl w:val="1"/>
          <w:numId w:val="8"/>
        </w:numPr>
        <w:spacing w:before="0"/>
        <w:jc w:val="both"/>
        <w:rPr>
          <w:rFonts w:cs="Times New Roman"/>
          <w:szCs w:val="24"/>
          <w:lang w:val="fr-CA"/>
        </w:rPr>
      </w:pPr>
      <w:r w:rsidRPr="007B79E3">
        <w:rPr>
          <w:rFonts w:cs="Times New Roman"/>
          <w:szCs w:val="24"/>
          <w:lang w:val="fr-CA"/>
        </w:rPr>
        <w:lastRenderedPageBreak/>
        <w:t>Les jugements des juridictions d’instances inférieures</w:t>
      </w:r>
    </w:p>
    <w:p w:rsidR="00CF3116" w:rsidRPr="007B79E3" w:rsidRDefault="00CF3116" w:rsidP="00CF3116">
      <w:pPr>
        <w:pStyle w:val="Title3LevelTitre3Niveau"/>
        <w:widowControl w:val="0"/>
        <w:numPr>
          <w:ilvl w:val="2"/>
          <w:numId w:val="8"/>
        </w:numPr>
        <w:spacing w:before="0"/>
        <w:jc w:val="both"/>
        <w:rPr>
          <w:rFonts w:cs="Times New Roman"/>
          <w:szCs w:val="24"/>
          <w:lang w:val="fr-CA"/>
        </w:rPr>
      </w:pPr>
      <w:r w:rsidRPr="007B79E3">
        <w:rPr>
          <w:rFonts w:cs="Times New Roman"/>
          <w:szCs w:val="24"/>
          <w:lang w:val="fr-CA"/>
        </w:rPr>
        <w:t>Cour supérieure du Québec, 2016 QCCS 5133</w:t>
      </w:r>
      <w:r>
        <w:rPr>
          <w:rFonts w:cs="Times New Roman"/>
          <w:szCs w:val="24"/>
          <w:lang w:val="fr-CA"/>
        </w:rPr>
        <w:t xml:space="preserve"> </w:t>
      </w:r>
      <w:r w:rsidRPr="007B79E3">
        <w:rPr>
          <w:rFonts w:cs="Times New Roman"/>
          <w:szCs w:val="24"/>
          <w:lang w:val="fr-CA"/>
        </w:rPr>
        <w:t>(le juge Davis)</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Le juge Davis rejette les requêtes en radiation. Les </w:t>
      </w:r>
      <w:r>
        <w:rPr>
          <w:rFonts w:cs="Times New Roman"/>
          <w:szCs w:val="24"/>
          <w:lang w:val="fr-CA"/>
        </w:rPr>
        <w:t>compagnies</w:t>
      </w:r>
      <w:r w:rsidRPr="007B79E3">
        <w:rPr>
          <w:rFonts w:cs="Times New Roman"/>
          <w:szCs w:val="24"/>
          <w:lang w:val="fr-CA"/>
        </w:rPr>
        <w:t xml:space="preserve"> minières font valoir que le titre ancestral est un droit réel et que, suivant l’art. 3152 du </w:t>
      </w:r>
      <w:r w:rsidRPr="007B79E3">
        <w:rPr>
          <w:rFonts w:cs="Times New Roman"/>
          <w:i/>
          <w:szCs w:val="24"/>
          <w:lang w:val="fr-CA"/>
        </w:rPr>
        <w:t>Code civil du Québec</w:t>
      </w:r>
      <w:r w:rsidRPr="007B79E3">
        <w:rPr>
          <w:rFonts w:cs="Times New Roman"/>
          <w:szCs w:val="24"/>
          <w:lang w:val="fr-CA"/>
        </w:rPr>
        <w:t xml:space="preserve"> (« </w:t>
      </w:r>
      <w:r w:rsidRPr="007B79E3">
        <w:rPr>
          <w:rFonts w:cs="Times New Roman"/>
          <w:i/>
          <w:szCs w:val="24"/>
          <w:lang w:val="fr-CA"/>
        </w:rPr>
        <w:t>C.c.Q.</w:t>
      </w:r>
      <w:r w:rsidRPr="007B79E3">
        <w:rPr>
          <w:rFonts w:cs="Times New Roman"/>
          <w:szCs w:val="24"/>
          <w:lang w:val="fr-CA"/>
        </w:rPr>
        <w:t> » ou « </w:t>
      </w:r>
      <w:r w:rsidRPr="007B79E3">
        <w:rPr>
          <w:rFonts w:cs="Times New Roman"/>
          <w:i/>
          <w:szCs w:val="24"/>
          <w:lang w:val="fr-CA"/>
        </w:rPr>
        <w:t>Code civil</w:t>
      </w:r>
      <w:r w:rsidRPr="007B79E3">
        <w:rPr>
          <w:rFonts w:cs="Times New Roman"/>
          <w:szCs w:val="24"/>
          <w:lang w:val="fr-CA"/>
        </w:rPr>
        <w:t> »), l’action des Innus outrepasse la compétence des tribunaux du Québec dans la mesure où elle vise des terres situées à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 Le procureur général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 xml:space="preserve">Labrador appuie ces arguments et invoque le moyen de défense de l’immunité de la Couronne. Les Innus, pour leur part, soutiennent qu’il s’agit d’une action personnelle ou mixte et que les tribunaux québécois tirent leur pouvoir d’ordonner une réparation pécuniaire et une injonction contre les </w:t>
      </w:r>
      <w:r>
        <w:rPr>
          <w:rFonts w:cs="Times New Roman"/>
          <w:szCs w:val="24"/>
          <w:lang w:val="fr-CA"/>
        </w:rPr>
        <w:t>compagnies</w:t>
      </w:r>
      <w:r w:rsidRPr="007B79E3">
        <w:rPr>
          <w:rFonts w:cs="Times New Roman"/>
          <w:szCs w:val="24"/>
          <w:lang w:val="fr-CA"/>
        </w:rPr>
        <w:t xml:space="preserve"> minières </w:t>
      </w:r>
      <w:proofErr w:type="gramStart"/>
      <w:r w:rsidRPr="007B79E3">
        <w:rPr>
          <w:rFonts w:cs="Times New Roman"/>
          <w:szCs w:val="24"/>
          <w:lang w:val="fr-CA"/>
        </w:rPr>
        <w:t>des art</w:t>
      </w:r>
      <w:proofErr w:type="gramEnd"/>
      <w:r w:rsidRPr="007B79E3">
        <w:rPr>
          <w:rFonts w:cs="Times New Roman"/>
          <w:szCs w:val="24"/>
          <w:lang w:val="fr-CA"/>
        </w:rPr>
        <w:t xml:space="preserve">. 3134 et 3148 al. 1(1) du </w:t>
      </w:r>
      <w:r w:rsidRPr="007B79E3">
        <w:rPr>
          <w:rFonts w:cs="Times New Roman"/>
          <w:i/>
          <w:szCs w:val="24"/>
          <w:lang w:val="fr-CA"/>
        </w:rPr>
        <w:t>C.c.Q</w:t>
      </w:r>
      <w:r w:rsidRPr="007B79E3">
        <w:rPr>
          <w:rFonts w:cs="Times New Roman"/>
          <w:szCs w:val="24"/>
          <w:lang w:val="fr-CA"/>
        </w:rPr>
        <w:t>.</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Selon le juge Davis, la solution au problème de la compétence consiste à bien qualifier l’action dans le cadre du </w:t>
      </w:r>
      <w:r w:rsidRPr="007B79E3">
        <w:rPr>
          <w:rFonts w:cs="Times New Roman"/>
          <w:i/>
          <w:szCs w:val="24"/>
          <w:lang w:val="fr-CA"/>
        </w:rPr>
        <w:t>Code civil</w:t>
      </w:r>
      <w:r w:rsidRPr="007B79E3">
        <w:rPr>
          <w:rFonts w:cs="Times New Roman"/>
          <w:szCs w:val="24"/>
          <w:lang w:val="fr-CA"/>
        </w:rPr>
        <w:t>. Il insiste sur l’importance de tenir compte du point de vue des Autochtones et conclut que, pour ce faire, il faut reconnaître que l’occupation des peuples autochtones est antérieure à l’établissement de quelque frontière provinciale que ce soit. Selon le juge Davis, les provinces bénéficient certes d’une immunité réciproque, mais il conclut que celle-ci s’applique mal à un dossier dans lequel il s’agit de statuer sur des droits antérieurs à la fois à l’établissement des frontières provinciales et, en conséquence, à la justification de cette immunité. Tout en reconnaissant que le tribunal appelé à se prononcer sur le fond de l’affaire sera tenu de tirer des conclusions sur les droits des provinces, il fait remarquer que les Innus ne demandent aucune réparation à l</w:t>
      </w:r>
      <w:r w:rsidR="00E51CCA">
        <w:rPr>
          <w:rFonts w:cs="Times New Roman"/>
          <w:szCs w:val="24"/>
          <w:lang w:val="fr-CA"/>
        </w:rPr>
        <w:t>’encontre de la Couronne</w:t>
      </w:r>
      <w:r w:rsidRPr="007B79E3">
        <w:rPr>
          <w:rFonts w:cs="Times New Roman"/>
          <w:szCs w:val="24"/>
          <w:lang w:val="fr-CA"/>
        </w:rPr>
        <w:t xml:space="preserve">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 xml:space="preserve">Le juge Davis convient que certains aspects du titre et des droits ancestraux s’apparentent à des droits réels parce qu’ils sont liés à des territoires ou à des lieux précis. Néanmoins, il fournit plusieurs raisons pour justifier le refus de qualifier l’action de réelle. Premièrement, il note que les droits reconnus et confirmés par l’art. 35 de la </w:t>
      </w:r>
      <w:r w:rsidRPr="007B79E3">
        <w:rPr>
          <w:rFonts w:cs="Times New Roman"/>
          <w:i/>
          <w:szCs w:val="24"/>
          <w:lang w:val="fr-CA"/>
        </w:rPr>
        <w:t>Loi constitutionnelle de 1982</w:t>
      </w:r>
      <w:r w:rsidRPr="007B79E3">
        <w:rPr>
          <w:rFonts w:cs="Times New Roman"/>
          <w:szCs w:val="24"/>
          <w:lang w:val="fr-CA"/>
        </w:rPr>
        <w:t xml:space="preserve"> sont des droits </w:t>
      </w:r>
      <w:r w:rsidRPr="007B79E3">
        <w:rPr>
          <w:rFonts w:cs="Times New Roman"/>
          <w:i/>
          <w:szCs w:val="24"/>
          <w:lang w:val="fr-CA"/>
        </w:rPr>
        <w:t>sui generis</w:t>
      </w:r>
      <w:r w:rsidRPr="007B79E3">
        <w:rPr>
          <w:rFonts w:cs="Times New Roman"/>
          <w:szCs w:val="24"/>
          <w:lang w:val="fr-CA"/>
        </w:rPr>
        <w:t>. Il ajoute que la reconnaissance de ces droits en l’espèce est accessoire aux deux réparations principales demandées : une injonction et des dommages</w:t>
      </w:r>
      <w:r w:rsidRPr="007B79E3">
        <w:rPr>
          <w:rFonts w:cs="Times New Roman"/>
          <w:szCs w:val="24"/>
          <w:lang w:val="fr-CA"/>
        </w:rPr>
        <w:noBreakHyphen/>
        <w:t xml:space="preserve">intérêts. Pour avoir gain de cause dans leur action contre les </w:t>
      </w:r>
      <w:r>
        <w:rPr>
          <w:rFonts w:cs="Times New Roman"/>
          <w:szCs w:val="24"/>
          <w:lang w:val="fr-CA"/>
        </w:rPr>
        <w:t>compagnies</w:t>
      </w:r>
      <w:r w:rsidRPr="007B79E3">
        <w:rPr>
          <w:rFonts w:cs="Times New Roman"/>
          <w:szCs w:val="24"/>
          <w:lang w:val="fr-CA"/>
        </w:rPr>
        <w:t xml:space="preserve"> minières défenderesses, les Innus doivent prouver qu’il y a eu violation d’obligations personnelles ou mixtes visées </w:t>
      </w:r>
      <w:proofErr w:type="gramStart"/>
      <w:r w:rsidRPr="007B79E3">
        <w:rPr>
          <w:rFonts w:cs="Times New Roman"/>
          <w:szCs w:val="24"/>
          <w:lang w:val="fr-CA"/>
        </w:rPr>
        <w:t>aux art</w:t>
      </w:r>
      <w:proofErr w:type="gramEnd"/>
      <w:r w:rsidRPr="007B79E3">
        <w:rPr>
          <w:rFonts w:cs="Times New Roman"/>
          <w:szCs w:val="24"/>
          <w:lang w:val="fr-CA"/>
        </w:rPr>
        <w:t xml:space="preserve">. 976 et 1457 du </w:t>
      </w:r>
      <w:r w:rsidRPr="007B79E3">
        <w:rPr>
          <w:rFonts w:cs="Times New Roman"/>
          <w:i/>
          <w:szCs w:val="24"/>
          <w:lang w:val="fr-CA"/>
        </w:rPr>
        <w:t>C.c.Q.</w:t>
      </w:r>
      <w:r w:rsidRPr="007B79E3">
        <w:rPr>
          <w:rFonts w:cs="Times New Roman"/>
          <w:szCs w:val="24"/>
          <w:lang w:val="fr-CA"/>
        </w:rPr>
        <w:t xml:space="preserve"> Les tribunaux du Québec ont donc compétence pour instruire l’affaire en application </w:t>
      </w:r>
      <w:proofErr w:type="gramStart"/>
      <w:r w:rsidRPr="007B79E3">
        <w:rPr>
          <w:rFonts w:cs="Times New Roman"/>
          <w:szCs w:val="24"/>
          <w:lang w:val="fr-CA"/>
        </w:rPr>
        <w:t>des art</w:t>
      </w:r>
      <w:proofErr w:type="gramEnd"/>
      <w:r w:rsidRPr="007B79E3">
        <w:rPr>
          <w:rFonts w:cs="Times New Roman"/>
          <w:szCs w:val="24"/>
          <w:lang w:val="fr-CA"/>
        </w:rPr>
        <w:t xml:space="preserve">. 3134 et 3148 al. 1(1) du </w:t>
      </w:r>
      <w:r w:rsidRPr="007B79E3">
        <w:rPr>
          <w:rFonts w:cs="Times New Roman"/>
          <w:i/>
          <w:szCs w:val="24"/>
          <w:lang w:val="fr-CA"/>
        </w:rPr>
        <w:t>C.c.Q.</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Seule la province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 interjette appel de ce jugement.</w:t>
      </w:r>
    </w:p>
    <w:p w:rsidR="00CF3116" w:rsidRPr="007B79E3" w:rsidRDefault="00CF3116" w:rsidP="00CF3116">
      <w:pPr>
        <w:pStyle w:val="Title3LevelTitre3Niveau"/>
        <w:widowControl w:val="0"/>
        <w:numPr>
          <w:ilvl w:val="2"/>
          <w:numId w:val="8"/>
        </w:numPr>
        <w:spacing w:before="0"/>
        <w:jc w:val="both"/>
        <w:rPr>
          <w:rFonts w:cs="Times New Roman"/>
          <w:szCs w:val="24"/>
          <w:lang w:val="fr-CA"/>
        </w:rPr>
      </w:pPr>
      <w:r w:rsidRPr="007B79E3">
        <w:rPr>
          <w:rFonts w:cs="Times New Roman"/>
          <w:szCs w:val="24"/>
          <w:lang w:val="fr-CA"/>
        </w:rPr>
        <w:t>Cour d’appel du Québec, 2017 QCCA 1791 (les juges Morissette, Healy et Ruel)</w:t>
      </w:r>
    </w:p>
    <w:p w:rsidR="00CF3116" w:rsidRPr="007B79E3" w:rsidRDefault="00CF3116" w:rsidP="00CF3116">
      <w:pPr>
        <w:pStyle w:val="ParaNoNdepar-AltN"/>
        <w:widowControl w:val="0"/>
        <w:tabs>
          <w:tab w:val="clear" w:pos="1152"/>
          <w:tab w:val="num" w:pos="1170"/>
        </w:tabs>
        <w:spacing w:before="0"/>
        <w:ind w:left="86"/>
        <w:rPr>
          <w:rFonts w:cs="Times New Roman"/>
          <w:szCs w:val="24"/>
          <w:lang w:val="fr-CA"/>
        </w:rPr>
      </w:pPr>
      <w:r w:rsidRPr="007B79E3">
        <w:rPr>
          <w:rFonts w:cs="Times New Roman"/>
          <w:szCs w:val="24"/>
          <w:lang w:val="fr-CA"/>
        </w:rPr>
        <w:t xml:space="preserve">S’exprimant au nom de la Cour d’appel, le juge Ruel confirme le jugement de la Cour supérieure. Il convient que la reconnaissance des droits ancestraux revendiqués est accessoire à la réclamation principale des Innus qui concerne la responsabilité civile des </w:t>
      </w:r>
      <w:r>
        <w:rPr>
          <w:rFonts w:cs="Times New Roman"/>
          <w:szCs w:val="24"/>
          <w:lang w:val="fr-CA"/>
        </w:rPr>
        <w:t>compagnies</w:t>
      </w:r>
      <w:r w:rsidRPr="007B79E3">
        <w:rPr>
          <w:rFonts w:cs="Times New Roman"/>
          <w:szCs w:val="24"/>
          <w:lang w:val="fr-CA"/>
        </w:rPr>
        <w:t xml:space="preserve"> minières. Il conclut également que le juge des requêtes n’a pas commis d’erreur en qualifiant l’action de mixte. Selon le juge Ruel, l’action ne peut être qualifiée de revendication territoriale contre l’État et ne vise pas des terres situées à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 xml:space="preserve">Labrador, et ce, pour au moins trois raisons. Premièrement, les Innus ont toujours géré le Nitassinan sans égard aux frontières </w:t>
      </w:r>
      <w:r w:rsidRPr="007B79E3">
        <w:rPr>
          <w:rFonts w:cs="Times New Roman"/>
          <w:szCs w:val="24"/>
          <w:lang w:val="fr-CA"/>
        </w:rPr>
        <w:lastRenderedPageBreak/>
        <w:t>provinciales qui existent aujourd’hui. Deuxièmement, les droits invoqués par les Innus s’étalent le long d’un spectre en fonction du degré de rattachement au territoire visé et ne peuvent être qualifiés de droits de propriété au sens qu’on leur donne en droit civil. Troisièmement, des préoccupations fondamentales relatives à la proportionnalité et à l’accès à la justice militent contre la scission des réclamations en fonction des frontières provinciales et contre la restriction de la capacité des Innus à exposer entièrement leurs prétentions.</w:t>
      </w:r>
    </w:p>
    <w:p w:rsidR="00CF3116" w:rsidRPr="007B79E3" w:rsidRDefault="00CF3116" w:rsidP="00CF3116">
      <w:pPr>
        <w:pStyle w:val="Title1LevelTitre1Niveau-AltL"/>
        <w:widowControl w:val="0"/>
        <w:numPr>
          <w:ilvl w:val="0"/>
          <w:numId w:val="8"/>
        </w:numPr>
        <w:spacing w:before="0"/>
        <w:jc w:val="both"/>
        <w:rPr>
          <w:rFonts w:cs="Times New Roman"/>
          <w:szCs w:val="24"/>
          <w:lang w:val="fr-CA"/>
        </w:rPr>
      </w:pPr>
      <w:r w:rsidRPr="007B79E3">
        <w:rPr>
          <w:rFonts w:cs="Times New Roman"/>
          <w:szCs w:val="24"/>
          <w:lang w:val="fr-CA"/>
        </w:rPr>
        <w:t>Analyse</w:t>
      </w:r>
    </w:p>
    <w:p w:rsidR="00CF3116" w:rsidRPr="007B79E3" w:rsidRDefault="00CF3116" w:rsidP="00CF3116">
      <w:pPr>
        <w:pStyle w:val="ParaNoNdepar-AltN"/>
        <w:tabs>
          <w:tab w:val="clear" w:pos="1152"/>
          <w:tab w:val="left" w:pos="1166"/>
          <w:tab w:val="num" w:pos="1242"/>
        </w:tabs>
        <w:ind w:left="90"/>
        <w:rPr>
          <w:rFonts w:cs="Times New Roman"/>
          <w:lang w:val="fr-CA"/>
        </w:rPr>
      </w:pPr>
      <w:r w:rsidRPr="007B79E3">
        <w:rPr>
          <w:rFonts w:cs="Times New Roman"/>
          <w:szCs w:val="24"/>
          <w:lang w:val="fr-CA"/>
        </w:rPr>
        <w:t>Nous sommes en désaccord avec plusieurs éléments de la dissidence. Il n’est toutefois pas d’usage à la Cour que les juges majoritaires réfutent point par point les motifs dissidents. En conséquence, il ne faudrait pas interpréter notre silence à l’égard de quelque aspect que ce soit de la dissidence comme un acquiescement de notre part.</w:t>
      </w:r>
    </w:p>
    <w:p w:rsidR="00CF3116" w:rsidRPr="007B79E3" w:rsidRDefault="00CF3116" w:rsidP="00CF3116">
      <w:pPr>
        <w:pStyle w:val="Title2LevelTitre2Niveau"/>
        <w:numPr>
          <w:ilvl w:val="1"/>
          <w:numId w:val="8"/>
        </w:numPr>
        <w:spacing w:before="0"/>
        <w:jc w:val="both"/>
        <w:rPr>
          <w:rFonts w:cs="Times New Roman"/>
          <w:i w:val="0"/>
          <w:szCs w:val="24"/>
          <w:lang w:val="fr-CA"/>
        </w:rPr>
      </w:pPr>
      <w:r w:rsidRPr="007B79E3">
        <w:rPr>
          <w:rFonts w:cs="Times New Roman"/>
          <w:szCs w:val="24"/>
          <w:lang w:val="fr-CA"/>
        </w:rPr>
        <w:t>L’i</w:t>
      </w:r>
      <w:r>
        <w:rPr>
          <w:rFonts w:cs="Times New Roman"/>
          <w:szCs w:val="24"/>
          <w:lang w:val="fr-CA"/>
        </w:rPr>
        <w:t>nterprétation du L</w:t>
      </w:r>
      <w:r w:rsidRPr="007B79E3">
        <w:rPr>
          <w:rFonts w:cs="Times New Roman"/>
          <w:szCs w:val="24"/>
          <w:lang w:val="fr-CA"/>
        </w:rPr>
        <w:t>ivre dixième du Code civil</w:t>
      </w:r>
    </w:p>
    <w:p w:rsidR="00CF3116" w:rsidRPr="007B79E3" w:rsidRDefault="00CF3116" w:rsidP="00CF3116">
      <w:pPr>
        <w:pStyle w:val="ParaNoNdepar-AltN"/>
        <w:widowControl w:val="0"/>
        <w:tabs>
          <w:tab w:val="clear" w:pos="1152"/>
          <w:tab w:val="num" w:pos="1170"/>
        </w:tabs>
        <w:spacing w:before="0"/>
        <w:ind w:left="86"/>
        <w:rPr>
          <w:rFonts w:cs="Times New Roman"/>
          <w:szCs w:val="24"/>
          <w:lang w:val="fr-CA"/>
        </w:rPr>
      </w:pPr>
      <w:r w:rsidRPr="007B79E3">
        <w:rPr>
          <w:rFonts w:cs="Times New Roman"/>
          <w:szCs w:val="24"/>
          <w:lang w:val="fr-CA"/>
        </w:rPr>
        <w:t xml:space="preserve">Le </w:t>
      </w:r>
      <w:r>
        <w:rPr>
          <w:rFonts w:cs="Times New Roman"/>
          <w:szCs w:val="24"/>
          <w:lang w:val="fr-CA"/>
        </w:rPr>
        <w:t>L</w:t>
      </w:r>
      <w:r w:rsidRPr="007B79E3">
        <w:rPr>
          <w:rFonts w:cs="Times New Roman"/>
          <w:szCs w:val="24"/>
          <w:lang w:val="fr-CA"/>
        </w:rPr>
        <w:t xml:space="preserve">ivre dixième du </w:t>
      </w:r>
      <w:r w:rsidRPr="007B79E3">
        <w:rPr>
          <w:rFonts w:cs="Times New Roman"/>
          <w:i/>
          <w:szCs w:val="24"/>
          <w:lang w:val="fr-CA"/>
        </w:rPr>
        <w:t xml:space="preserve">Code civil </w:t>
      </w:r>
      <w:r w:rsidRPr="007B79E3">
        <w:rPr>
          <w:rFonts w:cs="Times New Roman"/>
          <w:szCs w:val="24"/>
          <w:lang w:val="fr-CA"/>
        </w:rPr>
        <w:t>énonce les règles qui régissent le droit international privé dans la province. Pour des raisons de courtoisie, ces règles limitent la compétence des autorités du Québec aux affaires qui sont étroitement liées à la province : Québec, Assemblée nationale, Sous</w:t>
      </w:r>
      <w:r w:rsidRPr="007B79E3">
        <w:rPr>
          <w:rFonts w:cs="Times New Roman"/>
          <w:szCs w:val="24"/>
          <w:lang w:val="fr-CA"/>
        </w:rPr>
        <w:noBreakHyphen/>
        <w:t xml:space="preserve">commission des institutions, « Étude détaillée du projet de loi 125 — Code civil du Québec », </w:t>
      </w:r>
      <w:r w:rsidRPr="007B79E3">
        <w:rPr>
          <w:rFonts w:cs="Times New Roman"/>
          <w:i/>
          <w:szCs w:val="24"/>
          <w:lang w:val="fr-CA"/>
        </w:rPr>
        <w:t>Journal des débats</w:t>
      </w:r>
      <w:r w:rsidRPr="007B79E3">
        <w:rPr>
          <w:rFonts w:cs="Times New Roman"/>
          <w:szCs w:val="24"/>
          <w:lang w:val="fr-CA"/>
        </w:rPr>
        <w:t>, n</w:t>
      </w:r>
      <w:r w:rsidRPr="007B79E3">
        <w:rPr>
          <w:rFonts w:cs="Times New Roman"/>
          <w:szCs w:val="24"/>
          <w:vertAlign w:val="superscript"/>
          <w:lang w:val="fr-CA"/>
        </w:rPr>
        <w:t>o</w:t>
      </w:r>
      <w:r w:rsidRPr="007B79E3">
        <w:rPr>
          <w:rFonts w:cs="Times New Roman"/>
          <w:szCs w:val="24"/>
          <w:lang w:val="fr-CA"/>
        </w:rPr>
        <w:t> 28, 1</w:t>
      </w:r>
      <w:r w:rsidRPr="007B79E3">
        <w:rPr>
          <w:rFonts w:cs="Times New Roman"/>
          <w:szCs w:val="24"/>
          <w:vertAlign w:val="superscript"/>
          <w:lang w:val="fr-CA"/>
        </w:rPr>
        <w:t>re </w:t>
      </w:r>
      <w:proofErr w:type="gramStart"/>
      <w:r w:rsidRPr="007B79E3">
        <w:rPr>
          <w:rFonts w:cs="Times New Roman"/>
          <w:szCs w:val="24"/>
          <w:lang w:val="fr-CA"/>
        </w:rPr>
        <w:t>sess.,</w:t>
      </w:r>
      <w:proofErr w:type="gramEnd"/>
      <w:r w:rsidRPr="007B79E3">
        <w:rPr>
          <w:rFonts w:cs="Times New Roman"/>
          <w:szCs w:val="24"/>
          <w:lang w:val="fr-CA"/>
        </w:rPr>
        <w:t> 34</w:t>
      </w:r>
      <w:r w:rsidRPr="007B79E3">
        <w:rPr>
          <w:rFonts w:cs="Times New Roman"/>
          <w:szCs w:val="24"/>
          <w:vertAlign w:val="superscript"/>
          <w:lang w:val="fr-CA"/>
        </w:rPr>
        <w:t>e</w:t>
      </w:r>
      <w:r w:rsidRPr="007B79E3">
        <w:rPr>
          <w:rFonts w:cs="Times New Roman"/>
          <w:szCs w:val="24"/>
          <w:lang w:val="fr-CA"/>
        </w:rPr>
        <w:t xml:space="preserve"> lég., 3 décembre 1991,</w:t>
      </w:r>
      <w:r>
        <w:rPr>
          <w:rFonts w:cs="Times New Roman"/>
          <w:szCs w:val="24"/>
          <w:lang w:val="fr-CA"/>
        </w:rPr>
        <w:t xml:space="preserve"> p. </w:t>
      </w:r>
      <w:r w:rsidRPr="007B79E3">
        <w:rPr>
          <w:rFonts w:cs="Times New Roman"/>
          <w:szCs w:val="24"/>
          <w:lang w:val="fr-CA"/>
        </w:rPr>
        <w:t>SCI</w:t>
      </w:r>
      <w:r w:rsidRPr="007B79E3">
        <w:rPr>
          <w:rFonts w:cs="Times New Roman"/>
          <w:szCs w:val="24"/>
          <w:lang w:val="fr-CA"/>
        </w:rPr>
        <w:noBreakHyphen/>
        <w:t xml:space="preserve">1124. Lorsqu’on examine le lien entre une affaire donnée et la province, il importe de ne pas confondre la compétence juridictionnelle des cours supérieures provinciales avec la compétence législative des </w:t>
      </w:r>
      <w:r w:rsidRPr="007B79E3">
        <w:rPr>
          <w:rFonts w:cs="Times New Roman"/>
          <w:szCs w:val="24"/>
          <w:lang w:val="fr-CA"/>
        </w:rPr>
        <w:lastRenderedPageBreak/>
        <w:t xml:space="preserve">provinces : G. D. Watson et F. Au, « Constitutional Limits on Service </w:t>
      </w:r>
      <w:r w:rsidRPr="007B79E3">
        <w:rPr>
          <w:rFonts w:cs="Times New Roman"/>
          <w:i/>
          <w:szCs w:val="24"/>
          <w:lang w:val="fr-CA"/>
        </w:rPr>
        <w:t>Ex Juris</w:t>
      </w:r>
      <w:r w:rsidRPr="007B79E3">
        <w:rPr>
          <w:rFonts w:cs="Times New Roman"/>
          <w:szCs w:val="24"/>
          <w:lang w:val="fr-CA"/>
        </w:rPr>
        <w:t xml:space="preserve">: Unanswered Questions from </w:t>
      </w:r>
      <w:r w:rsidRPr="007B79E3">
        <w:rPr>
          <w:rFonts w:cs="Times New Roman"/>
          <w:i/>
          <w:szCs w:val="24"/>
          <w:lang w:val="fr-CA"/>
        </w:rPr>
        <w:t>Morguard</w:t>
      </w:r>
      <w:r w:rsidRPr="007B79E3">
        <w:rPr>
          <w:rFonts w:cs="Times New Roman"/>
          <w:szCs w:val="24"/>
          <w:lang w:val="fr-CA"/>
        </w:rPr>
        <w:t xml:space="preserve"> » (2000), 23 </w:t>
      </w:r>
      <w:r w:rsidRPr="007B79E3">
        <w:rPr>
          <w:rFonts w:cs="Times New Roman"/>
          <w:i/>
          <w:szCs w:val="24"/>
          <w:lang w:val="fr-CA"/>
        </w:rPr>
        <w:t>Adv. Q.</w:t>
      </w:r>
      <w:r w:rsidRPr="007B79E3">
        <w:rPr>
          <w:rFonts w:cs="Times New Roman"/>
          <w:szCs w:val="24"/>
          <w:lang w:val="fr-CA"/>
        </w:rPr>
        <w:t xml:space="preserve"> 167, p. 176 et 178; </w:t>
      </w:r>
      <w:r>
        <w:rPr>
          <w:rFonts w:cs="Times New Roman"/>
          <w:szCs w:val="24"/>
          <w:lang w:val="fr-CA"/>
        </w:rPr>
        <w:t>E. </w:t>
      </w:r>
      <w:r w:rsidRPr="007B79E3">
        <w:rPr>
          <w:rFonts w:cs="Times New Roman"/>
          <w:szCs w:val="24"/>
          <w:lang w:val="fr-CA"/>
        </w:rPr>
        <w:t xml:space="preserve">Edinger, « Territorial Limitations on Provincial Powers » (1982), 14 </w:t>
      </w:r>
      <w:r w:rsidRPr="00692CE0">
        <w:rPr>
          <w:rFonts w:cs="Times New Roman"/>
          <w:i/>
          <w:szCs w:val="24"/>
          <w:lang w:val="fr-CA"/>
        </w:rPr>
        <w:t xml:space="preserve">R. </w:t>
      </w:r>
      <w:r>
        <w:rPr>
          <w:rFonts w:cs="Times New Roman"/>
          <w:i/>
          <w:szCs w:val="24"/>
          <w:lang w:val="fr-CA"/>
        </w:rPr>
        <w:t xml:space="preserve">D. </w:t>
      </w:r>
      <w:r w:rsidRPr="007B79E3">
        <w:rPr>
          <w:rFonts w:cs="Times New Roman"/>
          <w:i/>
          <w:szCs w:val="24"/>
          <w:lang w:val="fr-CA"/>
        </w:rPr>
        <w:t>Ottawa</w:t>
      </w:r>
      <w:r>
        <w:rPr>
          <w:rFonts w:cs="Times New Roman"/>
          <w:szCs w:val="24"/>
          <w:lang w:val="fr-CA"/>
        </w:rPr>
        <w:t xml:space="preserve"> </w:t>
      </w:r>
      <w:r w:rsidRPr="007B79E3">
        <w:rPr>
          <w:rFonts w:cs="Times New Roman"/>
          <w:szCs w:val="24"/>
          <w:lang w:val="fr-CA"/>
        </w:rPr>
        <w:t>57, p. 63.</w:t>
      </w:r>
    </w:p>
    <w:p w:rsidR="00CF3116" w:rsidRPr="007B79E3" w:rsidRDefault="00CF3116" w:rsidP="00CF3116">
      <w:pPr>
        <w:pStyle w:val="ParaNoNdepar-AltN"/>
        <w:widowControl w:val="0"/>
        <w:tabs>
          <w:tab w:val="clear" w:pos="1152"/>
          <w:tab w:val="num" w:pos="1170"/>
        </w:tabs>
        <w:spacing w:before="0"/>
        <w:ind w:left="86"/>
        <w:rPr>
          <w:rFonts w:cs="Times New Roman"/>
          <w:szCs w:val="24"/>
          <w:lang w:val="fr-CA"/>
        </w:rPr>
      </w:pPr>
      <w:r w:rsidRPr="007B79E3">
        <w:rPr>
          <w:rFonts w:cs="Times New Roman"/>
          <w:szCs w:val="24"/>
          <w:lang w:val="fr-CA"/>
        </w:rPr>
        <w:t>Pour interpréter les règles énoncées au</w:t>
      </w:r>
      <w:r>
        <w:rPr>
          <w:rFonts w:cs="Times New Roman"/>
          <w:szCs w:val="24"/>
          <w:lang w:val="fr-CA"/>
        </w:rPr>
        <w:t xml:space="preserve"> L</w:t>
      </w:r>
      <w:r w:rsidRPr="007B79E3">
        <w:rPr>
          <w:rFonts w:cs="Times New Roman"/>
          <w:szCs w:val="24"/>
          <w:lang w:val="fr-CA"/>
        </w:rPr>
        <w:t xml:space="preserve">ivre dixième, il faut d’abord examiner les dispositions du </w:t>
      </w:r>
      <w:r w:rsidRPr="007B79E3">
        <w:rPr>
          <w:rFonts w:cs="Times New Roman"/>
          <w:i/>
          <w:szCs w:val="24"/>
          <w:lang w:val="fr-CA"/>
        </w:rPr>
        <w:t>Code civil</w:t>
      </w:r>
      <w:r w:rsidRPr="007B79E3">
        <w:rPr>
          <w:rFonts w:cs="Times New Roman"/>
          <w:szCs w:val="24"/>
          <w:lang w:val="fr-CA"/>
        </w:rPr>
        <w:t>, puis se demander si l’interprétation proposée est compatible avec les principes sous</w:t>
      </w:r>
      <w:r w:rsidRPr="007B79E3">
        <w:rPr>
          <w:rFonts w:cs="Times New Roman"/>
          <w:szCs w:val="24"/>
          <w:lang w:val="fr-CA"/>
        </w:rPr>
        <w:noBreakHyphen/>
        <w:t xml:space="preserve">jacents de courtoisie, d’ordre et d’équité : </w:t>
      </w:r>
      <w:r w:rsidRPr="007B79E3">
        <w:rPr>
          <w:rFonts w:cs="Times New Roman"/>
          <w:i/>
          <w:szCs w:val="24"/>
          <w:lang w:val="fr-CA"/>
        </w:rPr>
        <w:t>Spar Aerospace Ltée c. American Mobile Satellite Corp.</w:t>
      </w:r>
      <w:r w:rsidRPr="007B79E3">
        <w:rPr>
          <w:rFonts w:cs="Times New Roman"/>
          <w:szCs w:val="24"/>
          <w:lang w:val="fr-CA"/>
        </w:rPr>
        <w:t xml:space="preserve">, 2002 CSC 78, [2002] 4 R.C.S. 205, par. 23. Ensuite, il faut interpréter les règles énoncées au </w:t>
      </w:r>
      <w:r>
        <w:rPr>
          <w:rFonts w:cs="Times New Roman"/>
          <w:szCs w:val="24"/>
          <w:lang w:val="fr-CA"/>
        </w:rPr>
        <w:t>L</w:t>
      </w:r>
      <w:r w:rsidRPr="007B79E3">
        <w:rPr>
          <w:rFonts w:cs="Times New Roman"/>
          <w:szCs w:val="24"/>
          <w:lang w:val="fr-CA"/>
        </w:rPr>
        <w:t xml:space="preserve">ivre dixième à la lumière des impératifs de notre ordre constitutionnel : par. 51; J. Walker, </w:t>
      </w:r>
      <w:r w:rsidRPr="007B79E3">
        <w:rPr>
          <w:rFonts w:cs="Times New Roman"/>
          <w:i/>
          <w:szCs w:val="24"/>
          <w:lang w:val="fr-CA"/>
        </w:rPr>
        <w:t>Castel &amp; Walker: Canadian Conflict of Laws</w:t>
      </w:r>
      <w:r w:rsidRPr="007B79E3">
        <w:rPr>
          <w:rFonts w:cs="Times New Roman"/>
          <w:szCs w:val="24"/>
          <w:lang w:val="fr-CA"/>
        </w:rPr>
        <w:t xml:space="preserve"> (6</w:t>
      </w:r>
      <w:r w:rsidRPr="007B79E3">
        <w:rPr>
          <w:rFonts w:cs="Times New Roman"/>
          <w:szCs w:val="24"/>
          <w:vertAlign w:val="superscript"/>
          <w:lang w:val="fr-CA"/>
        </w:rPr>
        <w:t>e</w:t>
      </w:r>
      <w:r w:rsidRPr="007B79E3">
        <w:rPr>
          <w:rFonts w:cs="Times New Roman"/>
          <w:szCs w:val="24"/>
          <w:lang w:val="fr-CA"/>
        </w:rPr>
        <w:t xml:space="preserve"> éd. (feuilles mobiles)), vol. 1, p. 1</w:t>
      </w:r>
      <w:r w:rsidRPr="007B79E3">
        <w:rPr>
          <w:rFonts w:cs="Times New Roman"/>
          <w:szCs w:val="24"/>
          <w:lang w:val="fr-CA"/>
        </w:rPr>
        <w:noBreakHyphen/>
        <w:t xml:space="preserve">5. Comme pour toute autre loi, les dispositions du </w:t>
      </w:r>
      <w:r w:rsidRPr="007B79E3">
        <w:rPr>
          <w:rFonts w:cs="Times New Roman"/>
          <w:i/>
          <w:iCs/>
          <w:szCs w:val="24"/>
          <w:lang w:val="fr-CA"/>
        </w:rPr>
        <w:t>Code civil</w:t>
      </w:r>
      <w:r w:rsidRPr="007B79E3">
        <w:rPr>
          <w:rFonts w:cs="Times New Roman"/>
          <w:szCs w:val="24"/>
          <w:lang w:val="fr-CA"/>
        </w:rPr>
        <w:t xml:space="preserve"> en matière de droit international privé doivent être interprétées conformément à la Constitution : </w:t>
      </w:r>
      <w:r w:rsidRPr="007B79E3">
        <w:rPr>
          <w:rFonts w:cs="Times New Roman"/>
          <w:i/>
          <w:iCs/>
          <w:szCs w:val="24"/>
          <w:lang w:val="fr-CA"/>
        </w:rPr>
        <w:t>R. c. Sharpe</w:t>
      </w:r>
      <w:r w:rsidRPr="007B79E3">
        <w:rPr>
          <w:rFonts w:cs="Times New Roman"/>
          <w:szCs w:val="24"/>
          <w:lang w:val="fr-CA"/>
        </w:rPr>
        <w:t xml:space="preserve">, 2001 CSC 2, [2001] 1 R.C.S. 45, par. 33; </w:t>
      </w:r>
      <w:r w:rsidRPr="007B79E3">
        <w:rPr>
          <w:rFonts w:cs="Times New Roman"/>
          <w:i/>
          <w:iCs/>
          <w:szCs w:val="24"/>
          <w:lang w:val="fr-CA"/>
        </w:rPr>
        <w:t>Solski (Tuteur de) c. Québec (Procureur général)</w:t>
      </w:r>
      <w:r w:rsidRPr="007B79E3">
        <w:rPr>
          <w:rFonts w:cs="Times New Roman"/>
          <w:szCs w:val="24"/>
          <w:lang w:val="fr-CA"/>
        </w:rPr>
        <w:t>, 2005 CSC 14, [2005] 1 R.C.S. 201, par. 36. Lorsque les droits garantis par l’art.</w:t>
      </w:r>
      <w:r>
        <w:rPr>
          <w:rFonts w:cs="Times New Roman"/>
          <w:szCs w:val="24"/>
          <w:lang w:val="fr-CA"/>
        </w:rPr>
        <w:t> 35 sont en jeu, le L</w:t>
      </w:r>
      <w:r w:rsidRPr="007B79E3">
        <w:rPr>
          <w:rFonts w:cs="Times New Roman"/>
          <w:szCs w:val="24"/>
          <w:lang w:val="fr-CA"/>
        </w:rPr>
        <w:t xml:space="preserve">ivre dixième doit être interprété de manière à respecter les droits ancestraux et les droits issus de traités reconnus et confirmés par la Constitution, mais aussi en tenant compte des considérations relatives à l’accès à la justice, qui sont protégées par les tribunaux visés à l’art. 96 : </w:t>
      </w:r>
      <w:r w:rsidRPr="007B79E3">
        <w:rPr>
          <w:rFonts w:cs="Times New Roman"/>
          <w:i/>
          <w:szCs w:val="24"/>
          <w:lang w:val="fr-CA"/>
        </w:rPr>
        <w:t>Loi constitutionnelle de 1982</w:t>
      </w:r>
      <w:r w:rsidRPr="007B79E3">
        <w:rPr>
          <w:rFonts w:cs="Times New Roman"/>
          <w:szCs w:val="24"/>
          <w:lang w:val="fr-CA"/>
        </w:rPr>
        <w:t xml:space="preserve">, art. 35; </w:t>
      </w:r>
      <w:r w:rsidRPr="007B79E3">
        <w:rPr>
          <w:rFonts w:cs="Times New Roman"/>
          <w:i/>
          <w:szCs w:val="24"/>
          <w:lang w:val="fr-CA"/>
        </w:rPr>
        <w:t>Loi constitutionnelle de 1867</w:t>
      </w:r>
      <w:r w:rsidRPr="007B79E3">
        <w:rPr>
          <w:rFonts w:cs="Times New Roman"/>
          <w:szCs w:val="24"/>
          <w:lang w:val="fr-CA"/>
        </w:rPr>
        <w:t xml:space="preserve">, art. 96; </w:t>
      </w:r>
      <w:r w:rsidRPr="007B79E3">
        <w:rPr>
          <w:rFonts w:cs="Times New Roman"/>
          <w:i/>
          <w:szCs w:val="24"/>
          <w:lang w:val="fr-CA"/>
        </w:rPr>
        <w:t>Renvoi relatif à la sécession du Québec</w:t>
      </w:r>
      <w:r w:rsidRPr="007B79E3">
        <w:rPr>
          <w:rFonts w:cs="Times New Roman"/>
          <w:szCs w:val="24"/>
          <w:lang w:val="fr-CA"/>
        </w:rPr>
        <w:t xml:space="preserve">, [1998] 2 R.C.S. 217, par. 82; </w:t>
      </w:r>
      <w:r w:rsidRPr="007B79E3">
        <w:rPr>
          <w:rFonts w:cs="Times New Roman"/>
          <w:i/>
          <w:szCs w:val="24"/>
          <w:lang w:val="fr-CA"/>
        </w:rPr>
        <w:t>Trial Lawyers Association of British Columbia c. Colombie</w:t>
      </w:r>
      <w:r w:rsidRPr="007B79E3">
        <w:rPr>
          <w:rFonts w:cs="Times New Roman"/>
          <w:i/>
          <w:szCs w:val="24"/>
          <w:lang w:val="fr-CA"/>
        </w:rPr>
        <w:noBreakHyphen/>
        <w:t>Britannique (Procureur général)</w:t>
      </w:r>
      <w:r w:rsidRPr="007B79E3">
        <w:rPr>
          <w:rFonts w:cs="Times New Roman"/>
          <w:szCs w:val="24"/>
          <w:lang w:val="fr-CA"/>
        </w:rPr>
        <w:t>, 2014 CSC 59, [2014] 3 R.C.S. 31, par. 36</w:t>
      </w:r>
      <w:r w:rsidRPr="007B79E3">
        <w:rPr>
          <w:rFonts w:cs="Times New Roman"/>
          <w:szCs w:val="24"/>
          <w:lang w:val="fr-CA"/>
        </w:rPr>
        <w:noBreakHyphen/>
        <w:t>39.</w:t>
      </w:r>
    </w:p>
    <w:p w:rsidR="00CF3116" w:rsidRPr="007B79E3" w:rsidRDefault="00CF3116" w:rsidP="00CF3116">
      <w:pPr>
        <w:pStyle w:val="ParaNoNdepar-AltN"/>
        <w:tabs>
          <w:tab w:val="clear" w:pos="1152"/>
          <w:tab w:val="num" w:pos="1170"/>
        </w:tabs>
        <w:spacing w:before="0"/>
        <w:ind w:left="86"/>
        <w:rPr>
          <w:rFonts w:cs="Times New Roman"/>
          <w:szCs w:val="24"/>
          <w:lang w:val="fr-CA"/>
        </w:rPr>
      </w:pPr>
      <w:r>
        <w:rPr>
          <w:rFonts w:cs="Times New Roman"/>
          <w:szCs w:val="24"/>
          <w:lang w:val="fr-CA"/>
        </w:rPr>
        <w:lastRenderedPageBreak/>
        <w:t>Le titre troisième du L</w:t>
      </w:r>
      <w:r w:rsidRPr="007B79E3">
        <w:rPr>
          <w:rFonts w:cs="Times New Roman"/>
          <w:szCs w:val="24"/>
          <w:lang w:val="fr-CA"/>
        </w:rPr>
        <w:t>ivre dixième traite de la compétence internationale des autorités du Québec. Il débute par des règles générales. L’article 3134, la première disposition du chapitre premier, établit une règle de compétence résiduelle :</w:t>
      </w:r>
      <w:r w:rsidRPr="007B79E3" w:rsidDel="00222A05">
        <w:rPr>
          <w:rFonts w:cs="Times New Roman"/>
          <w:szCs w:val="24"/>
          <w:lang w:val="fr-CA"/>
        </w:rPr>
        <w:t xml:space="preserve"> </w:t>
      </w:r>
      <w:r w:rsidR="00F92ACF">
        <w:rPr>
          <w:rFonts w:cs="Times New Roman"/>
          <w:szCs w:val="24"/>
          <w:lang w:val="fr-CA"/>
        </w:rPr>
        <w:t>« E</w:t>
      </w:r>
      <w:r w:rsidRPr="007B79E3">
        <w:rPr>
          <w:rFonts w:cs="Times New Roman"/>
          <w:szCs w:val="24"/>
          <w:lang w:val="fr-CA"/>
        </w:rPr>
        <w:t xml:space="preserve">n l’absence de disposition particulière, les autorités du Québec sont compétentes lorsque le défendeur a son domicile au Québec ». Les dispositions particulières visées à l’art. 3134 se trouvent au chapitre deuxième, qui prévoit des règles de compétence particulières en fonction de la nature de l’action. Les première et deuxième sections portent sur les actions personnelles et à caractère familial. La troisième section traite des actions réelles et mixtes et ne comporte que trois dispositions — la première établit la règle générale selon laquelle les autorités québécoises sont compétentes pour connaître d’une action réelle si le bien en litige est situé au Québec (art. 3152), et les deux autres prévoient des exceptions concernant la compétence en matière successorale (art. 3153) et en matière de régimes matrimoniaux (art. 3154). Pour que les autorités québécoises soient compétentes pour entendre les actions mixtes, elles doivent l’être tant à l’égard du volet personnel que du volet réel de la question : </w:t>
      </w:r>
      <w:r w:rsidRPr="007B79E3">
        <w:rPr>
          <w:rFonts w:cs="Times New Roman"/>
          <w:i/>
          <w:szCs w:val="24"/>
          <w:lang w:val="fr-CA"/>
        </w:rPr>
        <w:t>CGAO c. Groupe Anderson inc.</w:t>
      </w:r>
      <w:r w:rsidRPr="007B79E3">
        <w:rPr>
          <w:rFonts w:cs="Times New Roman"/>
          <w:szCs w:val="24"/>
          <w:lang w:val="fr-CA"/>
        </w:rPr>
        <w:t xml:space="preserve">, 2017 QCCA 923, par. 10 (CanLII); Office de révision du Code civil, </w:t>
      </w:r>
      <w:r w:rsidRPr="007B79E3">
        <w:rPr>
          <w:rFonts w:cs="Times New Roman"/>
          <w:i/>
          <w:szCs w:val="24"/>
          <w:lang w:val="fr-CA"/>
        </w:rPr>
        <w:t>Rapport sur le Code civil du Québec</w:t>
      </w:r>
      <w:r w:rsidRPr="007B79E3">
        <w:rPr>
          <w:rFonts w:cs="Times New Roman"/>
          <w:szCs w:val="24"/>
          <w:lang w:val="fr-CA"/>
        </w:rPr>
        <w:t>, vol. II, t.</w:t>
      </w:r>
      <w:r w:rsidRPr="007B79E3">
        <w:rPr>
          <w:rFonts w:cs="Times New Roman"/>
          <w:i/>
          <w:szCs w:val="24"/>
          <w:lang w:val="fr-CA"/>
        </w:rPr>
        <w:t> </w:t>
      </w:r>
      <w:r w:rsidRPr="007B79E3">
        <w:rPr>
          <w:rFonts w:cs="Times New Roman"/>
          <w:szCs w:val="24"/>
          <w:lang w:val="fr-CA"/>
        </w:rPr>
        <w:t xml:space="preserve">2, </w:t>
      </w:r>
      <w:r w:rsidRPr="007B79E3">
        <w:rPr>
          <w:rFonts w:cs="Times New Roman"/>
          <w:i/>
          <w:szCs w:val="24"/>
          <w:lang w:val="fr-CA"/>
        </w:rPr>
        <w:t>Commentaires</w:t>
      </w:r>
      <w:r w:rsidRPr="007B79E3">
        <w:rPr>
          <w:rFonts w:cs="Times New Roman"/>
          <w:szCs w:val="24"/>
          <w:lang w:val="fr-CA"/>
        </w:rPr>
        <w:t xml:space="preserve"> (1978), p. 989. Ces règles empêchent comme il se doit que, simplement parce que les parties ont regroupé plusieurs réclamations, les tribunaux du Québec s’arrogent une compétence à l’égard d’une affaire qui, autrement, ne serait pas de leur ressort.</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Le </w:t>
      </w:r>
      <w:r w:rsidRPr="007B79E3">
        <w:rPr>
          <w:rFonts w:cs="Times New Roman"/>
          <w:i/>
          <w:szCs w:val="24"/>
          <w:lang w:val="fr-CA"/>
        </w:rPr>
        <w:t>Code civil</w:t>
      </w:r>
      <w:r w:rsidRPr="007B79E3">
        <w:rPr>
          <w:rFonts w:cs="Times New Roman"/>
          <w:szCs w:val="24"/>
          <w:lang w:val="fr-CA"/>
        </w:rPr>
        <w:t xml:space="preserve"> est muet quant à l’analyse appropriée à effectuer pour qualifier une action aux fins du chapitre deuxième. Selon les débats de l’Assemblée nationale, chaque disposition a été conçue afin de correspondre de manière générale au droit applicable à une matière donnée : </w:t>
      </w:r>
      <w:r w:rsidRPr="007B79E3">
        <w:rPr>
          <w:rFonts w:cs="Times New Roman"/>
          <w:i/>
          <w:szCs w:val="24"/>
          <w:lang w:val="fr-CA"/>
        </w:rPr>
        <w:t>Journal des débats</w:t>
      </w:r>
      <w:r w:rsidRPr="007B79E3">
        <w:rPr>
          <w:rFonts w:cs="Times New Roman"/>
          <w:szCs w:val="24"/>
          <w:lang w:val="fr-CA"/>
        </w:rPr>
        <w:t>, p. SCI</w:t>
      </w:r>
      <w:r w:rsidRPr="007B79E3">
        <w:rPr>
          <w:rFonts w:cs="Times New Roman"/>
          <w:szCs w:val="24"/>
          <w:lang w:val="fr-CA"/>
        </w:rPr>
        <w:noBreakHyphen/>
        <w:t xml:space="preserve">1129. Toutefois, </w:t>
      </w:r>
      <w:r w:rsidRPr="007B79E3">
        <w:rPr>
          <w:rFonts w:cs="Times New Roman"/>
          <w:szCs w:val="24"/>
          <w:lang w:val="fr-CA"/>
        </w:rPr>
        <w:lastRenderedPageBreak/>
        <w:t>les parallèles entre les règles régissant le droit international privé et les conflits de compétence sont imparfaits, et les premières ne devraient pas être directement transposées aux questions de compétence : C. Emanuelli,</w:t>
      </w:r>
      <w:r w:rsidRPr="007B79E3">
        <w:rPr>
          <w:rFonts w:cs="Times New Roman"/>
          <w:i/>
          <w:szCs w:val="24"/>
          <w:lang w:val="fr-CA"/>
        </w:rPr>
        <w:t xml:space="preserve"> Droit international privé québécois</w:t>
      </w:r>
      <w:r w:rsidRPr="007B79E3">
        <w:rPr>
          <w:rFonts w:cs="Times New Roman"/>
          <w:szCs w:val="24"/>
          <w:lang w:val="fr-CA"/>
        </w:rPr>
        <w:t xml:space="preserve"> (3</w:t>
      </w:r>
      <w:r w:rsidRPr="007B79E3">
        <w:rPr>
          <w:rFonts w:cs="Times New Roman"/>
          <w:szCs w:val="24"/>
          <w:vertAlign w:val="superscript"/>
          <w:lang w:val="fr-CA"/>
        </w:rPr>
        <w:t>e</w:t>
      </w:r>
      <w:r w:rsidRPr="007B79E3">
        <w:rPr>
          <w:rFonts w:cs="Times New Roman"/>
          <w:szCs w:val="24"/>
          <w:lang w:val="fr-CA"/>
        </w:rPr>
        <w:t xml:space="preserve"> éd. 2011), n</w:t>
      </w:r>
      <w:r w:rsidRPr="007B79E3">
        <w:rPr>
          <w:rFonts w:cs="Times New Roman"/>
          <w:szCs w:val="24"/>
          <w:vertAlign w:val="superscript"/>
          <w:lang w:val="fr-CA"/>
        </w:rPr>
        <w:t>os</w:t>
      </w:r>
      <w:r>
        <w:rPr>
          <w:rFonts w:cs="Times New Roman"/>
          <w:szCs w:val="24"/>
          <w:vertAlign w:val="superscript"/>
          <w:lang w:val="fr-CA"/>
        </w:rPr>
        <w:t> </w:t>
      </w:r>
      <w:r w:rsidRPr="007B79E3">
        <w:rPr>
          <w:rFonts w:cs="Times New Roman"/>
          <w:szCs w:val="24"/>
          <w:lang w:val="fr-CA"/>
        </w:rPr>
        <w:t xml:space="preserve">150 et 380; G. Goldstein, « La qualification en droit international privé selon la perspective de l’article 3078 </w:t>
      </w:r>
      <w:r w:rsidRPr="007B79E3">
        <w:rPr>
          <w:rFonts w:cs="Times New Roman"/>
          <w:i/>
          <w:szCs w:val="24"/>
          <w:lang w:val="fr-CA"/>
        </w:rPr>
        <w:t>C.c.Q.</w:t>
      </w:r>
      <w:r w:rsidRPr="007B79E3">
        <w:rPr>
          <w:rFonts w:cs="Times New Roman"/>
          <w:szCs w:val="24"/>
          <w:lang w:val="fr-CA"/>
        </w:rPr>
        <w:t xml:space="preserve"> » dans S. Guillemard, éd., </w:t>
      </w:r>
      <w:r w:rsidRPr="007B79E3">
        <w:rPr>
          <w:rFonts w:cs="Times New Roman"/>
          <w:i/>
          <w:szCs w:val="24"/>
          <w:lang w:val="fr-CA"/>
        </w:rPr>
        <w:t>Mélanges</w:t>
      </w:r>
      <w:r w:rsidRPr="007B79E3">
        <w:rPr>
          <w:rFonts w:cs="Times New Roman"/>
          <w:szCs w:val="24"/>
          <w:lang w:val="fr-CA"/>
        </w:rPr>
        <w:t xml:space="preserve"> </w:t>
      </w:r>
      <w:r w:rsidRPr="007B79E3">
        <w:rPr>
          <w:rFonts w:cs="Times New Roman"/>
          <w:i/>
          <w:szCs w:val="24"/>
          <w:lang w:val="fr-CA"/>
        </w:rPr>
        <w:t>en l’honneur du professeur Alain Prujiner : Études de droit international privé et de droit du commerce international</w:t>
      </w:r>
      <w:r w:rsidRPr="007B79E3">
        <w:rPr>
          <w:rFonts w:cs="Times New Roman"/>
          <w:szCs w:val="24"/>
          <w:lang w:val="fr-CA"/>
        </w:rPr>
        <w:t xml:space="preserve"> (2011), 195, p. 195</w:t>
      </w:r>
      <w:r w:rsidRPr="007B79E3">
        <w:rPr>
          <w:rFonts w:cs="Times New Roman"/>
          <w:szCs w:val="24"/>
          <w:lang w:val="fr-CA"/>
        </w:rPr>
        <w:noBreakHyphen/>
        <w:t xml:space="preserve">196, note 1. Lorsque, comme en l’espèce, le conflit concerne des droits qui ne sont ni définis ni directement régis par le </w:t>
      </w:r>
      <w:r w:rsidRPr="007B79E3">
        <w:rPr>
          <w:rFonts w:cs="Times New Roman"/>
          <w:i/>
          <w:szCs w:val="24"/>
          <w:lang w:val="fr-CA"/>
        </w:rPr>
        <w:t>Code civil</w:t>
      </w:r>
      <w:r w:rsidRPr="007B79E3">
        <w:rPr>
          <w:rFonts w:cs="Times New Roman"/>
          <w:szCs w:val="24"/>
          <w:lang w:val="fr-CA"/>
        </w:rPr>
        <w:t>, il faut tout particulièrement faire preuve de prudence lorsqu’on transpose ces règles.</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À défaut d’indication du législateur, il faut prendre en considération la nature des droits en cause et des conclusions recherchées lorsque vient le temps de qualifier l’action : voir, par ex., </w:t>
      </w:r>
      <w:r w:rsidRPr="007B79E3">
        <w:rPr>
          <w:rFonts w:cs="Times New Roman"/>
          <w:i/>
          <w:szCs w:val="24"/>
          <w:lang w:val="fr-CA"/>
        </w:rPr>
        <w:t>Bern c. Bern</w:t>
      </w:r>
      <w:r w:rsidRPr="007B79E3">
        <w:rPr>
          <w:rFonts w:cs="Times New Roman"/>
          <w:szCs w:val="24"/>
          <w:lang w:val="fr-CA"/>
        </w:rPr>
        <w:t xml:space="preserve">, [1995] R.D.J. 510 (C.A.). En l’espèce, les tribunaux ont qualifié l’action de « mixte ». Ils ont bien saisi la nature unique des droits protégés par l’art. 35 et ont pris les précautions nécessaires pour examiner ces droits ainsi que les conclusions recherchées en effectuant l’analyse appropriée au regard du </w:t>
      </w:r>
      <w:r w:rsidRPr="007B79E3">
        <w:rPr>
          <w:rFonts w:cs="Times New Roman"/>
          <w:i/>
          <w:szCs w:val="24"/>
          <w:lang w:val="fr-CA"/>
        </w:rPr>
        <w:t>Code civil</w:t>
      </w:r>
      <w:r w:rsidRPr="007B79E3">
        <w:rPr>
          <w:rFonts w:cs="Times New Roman"/>
          <w:szCs w:val="24"/>
          <w:lang w:val="fr-CA"/>
        </w:rPr>
        <w:t>. À notre avis, leurs conclusions étaient justifiées.</w:t>
      </w:r>
    </w:p>
    <w:p w:rsidR="00CF3116" w:rsidRPr="007B79E3" w:rsidRDefault="00CF3116" w:rsidP="00CF3116">
      <w:pPr>
        <w:pStyle w:val="Title2LevelTitre2Niveau"/>
        <w:numPr>
          <w:ilvl w:val="1"/>
          <w:numId w:val="8"/>
        </w:numPr>
        <w:spacing w:before="0"/>
        <w:jc w:val="both"/>
        <w:rPr>
          <w:rFonts w:cs="Times New Roman"/>
          <w:szCs w:val="24"/>
          <w:lang w:val="fr-CA"/>
        </w:rPr>
      </w:pPr>
      <w:r w:rsidRPr="007B79E3">
        <w:rPr>
          <w:rFonts w:cs="Times New Roman"/>
          <w:szCs w:val="24"/>
          <w:lang w:val="fr-CA"/>
        </w:rPr>
        <w:t>La qualification des droits garantis par l’art. 35</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Consacrés à la partie II de la </w:t>
      </w:r>
      <w:r w:rsidRPr="007B79E3">
        <w:rPr>
          <w:rFonts w:cs="Times New Roman"/>
          <w:i/>
          <w:szCs w:val="24"/>
          <w:lang w:val="fr-CA"/>
        </w:rPr>
        <w:t>Loi constitutionnelle de 1982</w:t>
      </w:r>
      <w:r w:rsidRPr="007B79E3">
        <w:rPr>
          <w:rFonts w:cs="Times New Roman"/>
          <w:szCs w:val="24"/>
          <w:lang w:val="fr-CA"/>
        </w:rPr>
        <w:t xml:space="preserve">, les droits garantis par l’art. 35 sont une composante centrale de l’ordre constitutionnel canadien. En effet, cette disposition établit le cadre constitutionnel qui permet à la fois de reconnaître le fait historique que les peuples autochtones vivaient sur le territoire en sociétés distinctes avant la colonisation par les Européens et de concilier ce fait avec </w:t>
      </w:r>
      <w:r w:rsidRPr="007B79E3">
        <w:rPr>
          <w:rFonts w:cs="Times New Roman"/>
          <w:szCs w:val="24"/>
          <w:lang w:val="fr-CA"/>
        </w:rPr>
        <w:lastRenderedPageBreak/>
        <w:t xml:space="preserve">la souveraineté du Canada : </w:t>
      </w:r>
      <w:r w:rsidRPr="007B79E3">
        <w:rPr>
          <w:rFonts w:cs="Times New Roman"/>
          <w:i/>
          <w:szCs w:val="24"/>
          <w:lang w:val="fr-CA"/>
        </w:rPr>
        <w:t>R. c. Van der Peet</w:t>
      </w:r>
      <w:r w:rsidRPr="007B79E3">
        <w:rPr>
          <w:rFonts w:cs="Times New Roman"/>
          <w:szCs w:val="24"/>
          <w:lang w:val="fr-CA"/>
        </w:rPr>
        <w:t xml:space="preserve">, [1996] 2 R.C.S. 507, par. 31. La Cour a qualifié </w:t>
      </w:r>
      <w:r>
        <w:rPr>
          <w:rFonts w:cs="Times New Roman"/>
          <w:szCs w:val="24"/>
          <w:lang w:val="fr-CA"/>
        </w:rPr>
        <w:t>l’art.</w:t>
      </w:r>
      <w:r w:rsidRPr="007B79E3">
        <w:rPr>
          <w:rFonts w:cs="Times New Roman"/>
          <w:szCs w:val="24"/>
          <w:lang w:val="fr-CA"/>
        </w:rPr>
        <w:t xml:space="preserve"> 35 d’engagement qui doit avoir un sens utile, reconnaissant non seulement l’occupation passée de terres par les Autochtones, mais aussi leur contribution à l’édification du Canada : </w:t>
      </w:r>
      <w:r w:rsidRPr="007B79E3">
        <w:rPr>
          <w:rFonts w:cs="Times New Roman"/>
          <w:i/>
          <w:szCs w:val="24"/>
          <w:lang w:val="fr-CA"/>
        </w:rPr>
        <w:t>R. c. Sparrow</w:t>
      </w:r>
      <w:r w:rsidRPr="007B79E3">
        <w:rPr>
          <w:rFonts w:cs="Times New Roman"/>
          <w:szCs w:val="24"/>
          <w:lang w:val="fr-CA"/>
        </w:rPr>
        <w:t xml:space="preserve">, [1990] 1 R.C.S. 1075, p. 1108; </w:t>
      </w:r>
      <w:r w:rsidRPr="007B79E3">
        <w:rPr>
          <w:rFonts w:cs="Times New Roman"/>
          <w:i/>
          <w:szCs w:val="24"/>
          <w:lang w:val="fr-CA"/>
        </w:rPr>
        <w:t>Renvoi relatif à la sécession du Québec</w:t>
      </w:r>
      <w:r w:rsidRPr="007B79E3">
        <w:rPr>
          <w:rFonts w:cs="Times New Roman"/>
          <w:szCs w:val="24"/>
          <w:lang w:val="fr-CA"/>
        </w:rPr>
        <w:t>, par. 82.</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La réconciliation, qui est l’objectif fondamental des règles de droit modernes relatives aux droits ancestraux, fait intervenir l’honneur de la Couronne : </w:t>
      </w:r>
      <w:r w:rsidRPr="007B79E3">
        <w:rPr>
          <w:rFonts w:cs="Times New Roman"/>
          <w:i/>
          <w:szCs w:val="24"/>
          <w:lang w:val="fr-CA"/>
        </w:rPr>
        <w:t>Première nation crie Mikisew c. Canada (Ministre du Patrimoine canadien)</w:t>
      </w:r>
      <w:r w:rsidRPr="007B79E3">
        <w:rPr>
          <w:rFonts w:cs="Times New Roman"/>
          <w:szCs w:val="24"/>
          <w:lang w:val="fr-CA"/>
        </w:rPr>
        <w:t xml:space="preserve">, 2005 CSC 69, [2005] 3 R.C.S. 388, par. 1 et 4. L’obligation découlant de ce principe peut varier en fonction de la situation; toutefois, l’honneur de la Couronne entre toujours en jeu lorsqu’il est question d’affirmer la souveraineté ou de trancher des revendications de droits ou de titres : </w:t>
      </w:r>
      <w:r w:rsidRPr="007B79E3">
        <w:rPr>
          <w:rFonts w:cs="Times New Roman"/>
          <w:i/>
          <w:szCs w:val="24"/>
          <w:lang w:val="fr-CA"/>
        </w:rPr>
        <w:t xml:space="preserve">Nation </w:t>
      </w:r>
      <w:r>
        <w:rPr>
          <w:rFonts w:cs="Times New Roman"/>
          <w:i/>
          <w:szCs w:val="24"/>
          <w:lang w:val="fr-CA"/>
        </w:rPr>
        <w:t>h</w:t>
      </w:r>
      <w:r w:rsidRPr="007B79E3">
        <w:rPr>
          <w:rFonts w:cs="Times New Roman"/>
          <w:i/>
          <w:szCs w:val="24"/>
          <w:lang w:val="fr-CA"/>
        </w:rPr>
        <w:t>aïda c. Colombie</w:t>
      </w:r>
      <w:r w:rsidRPr="007B79E3">
        <w:rPr>
          <w:rFonts w:cs="Times New Roman"/>
          <w:i/>
          <w:szCs w:val="24"/>
          <w:lang w:val="fr-CA"/>
        </w:rPr>
        <w:noBreakHyphen/>
        <w:t>Britannique (Ministre des Forêts)</w:t>
      </w:r>
      <w:r w:rsidRPr="007B79E3">
        <w:rPr>
          <w:rFonts w:cs="Times New Roman"/>
          <w:szCs w:val="24"/>
          <w:lang w:val="fr-CA"/>
        </w:rPr>
        <w:t xml:space="preserve">, 2004 CSC 73, [2004] 3 R.C.S. 511, par. 16; </w:t>
      </w:r>
      <w:r w:rsidRPr="007B79E3">
        <w:rPr>
          <w:rFonts w:cs="Times New Roman"/>
          <w:i/>
          <w:szCs w:val="24"/>
          <w:lang w:val="fr-CA"/>
        </w:rPr>
        <w:t>Manitoba Metis Federation Inc. c. Canada (Procureur général)</w:t>
      </w:r>
      <w:r w:rsidRPr="007B79E3">
        <w:rPr>
          <w:rFonts w:cs="Times New Roman"/>
          <w:szCs w:val="24"/>
          <w:lang w:val="fr-CA"/>
        </w:rPr>
        <w:t xml:space="preserve">, 2013 CSC 14, [2013] 1 R.C.S. 623, par. 74. En effet, dans certaines circonstances, l’honneur de la Couronne oblige cette dernière à s’acquitter de certaines obligations, même avant que les droits protégés par l’art. 35 soient établis avec certitude : </w:t>
      </w:r>
      <w:r>
        <w:rPr>
          <w:rFonts w:cs="Times New Roman"/>
          <w:i/>
          <w:szCs w:val="24"/>
          <w:lang w:val="fr-CA"/>
        </w:rPr>
        <w:t>Nation h</w:t>
      </w:r>
      <w:r w:rsidRPr="007B79E3">
        <w:rPr>
          <w:rFonts w:cs="Times New Roman"/>
          <w:i/>
          <w:szCs w:val="24"/>
          <w:lang w:val="fr-CA"/>
        </w:rPr>
        <w:t>aïda</w:t>
      </w:r>
      <w:r w:rsidRPr="007B79E3">
        <w:rPr>
          <w:rFonts w:cs="Times New Roman"/>
          <w:szCs w:val="24"/>
          <w:lang w:val="fr-CA"/>
        </w:rPr>
        <w:t>, par. 27.</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Jusqu’à maintenant, la réconciliation et l’honneur de la Couronne ont le plus souvent été invoqués dans le contexte d’une atteinte aux droits ancestraux ou issus de traités. Le présent appel nous donne l’occasion d’examiner comment ces doctrines contribuent à la détermination du tribunal qui a compétence pour statuer sur les réclamations fondées sur l’art. 35 dont l’objet chevauche plusieurs provinces.</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 xml:space="preserve">Bien que </w:t>
      </w:r>
      <w:r>
        <w:rPr>
          <w:rFonts w:cs="Times New Roman"/>
          <w:szCs w:val="24"/>
          <w:lang w:val="fr-CA"/>
        </w:rPr>
        <w:t>le par.</w:t>
      </w:r>
      <w:r w:rsidRPr="007B79E3">
        <w:rPr>
          <w:rFonts w:cs="Times New Roman"/>
          <w:szCs w:val="24"/>
          <w:lang w:val="fr-CA"/>
        </w:rPr>
        <w:t xml:space="preserve"> 35(1) reconnaisse et confirme « [l]es droits existants — ancestraux ou issus de traités — des peuples autochtones du Canada », la définition de ces droits incombe surtout aux tribunaux. L’honneur de la Couronne exige que cette disposition soit interprétée de façon libérale et téléologique en vue d’atteindre l’objectif de la réconciliation : </w:t>
      </w:r>
      <w:r w:rsidRPr="007B79E3">
        <w:rPr>
          <w:rFonts w:cs="Times New Roman"/>
          <w:i/>
          <w:szCs w:val="24"/>
          <w:lang w:val="fr-CA"/>
        </w:rPr>
        <w:t>Manitoba Metis Federation Inc.</w:t>
      </w:r>
      <w:r w:rsidRPr="007B79E3">
        <w:rPr>
          <w:rFonts w:cs="Times New Roman"/>
          <w:szCs w:val="24"/>
          <w:lang w:val="fr-CA"/>
        </w:rPr>
        <w:t>, par. 76</w:t>
      </w:r>
      <w:r w:rsidRPr="007B79E3">
        <w:rPr>
          <w:rFonts w:cs="Times New Roman"/>
          <w:szCs w:val="24"/>
          <w:lang w:val="fr-CA"/>
        </w:rPr>
        <w:noBreakHyphen/>
        <w:t>77.</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En outre, la Cour a toujours souligné le caractère </w:t>
      </w:r>
      <w:r w:rsidRPr="007B79E3">
        <w:rPr>
          <w:rFonts w:cs="Times New Roman"/>
          <w:i/>
          <w:szCs w:val="24"/>
          <w:lang w:val="fr-CA"/>
        </w:rPr>
        <w:t>sui generis</w:t>
      </w:r>
      <w:r w:rsidRPr="007B79E3">
        <w:rPr>
          <w:rFonts w:cs="Times New Roman"/>
          <w:szCs w:val="24"/>
          <w:lang w:val="fr-CA"/>
        </w:rPr>
        <w:t xml:space="preserve"> des droits garantis par l’art. 35, notamment le fait qu’un droit </w:t>
      </w:r>
      <w:r w:rsidRPr="007B79E3">
        <w:rPr>
          <w:rFonts w:cs="Times New Roman"/>
          <w:i/>
          <w:szCs w:val="24"/>
          <w:lang w:val="fr-CA"/>
        </w:rPr>
        <w:t>sui generis</w:t>
      </w:r>
      <w:r w:rsidRPr="007B79E3">
        <w:rPr>
          <w:rFonts w:cs="Times New Roman"/>
          <w:szCs w:val="24"/>
          <w:lang w:val="fr-CA"/>
        </w:rPr>
        <w:t xml:space="preserve"> est un droit unique « qu’il est impossible de faire entrer dans aucune catégorie reconnue » : H. Reid, avec S. Reid, </w:t>
      </w:r>
      <w:r w:rsidRPr="007B79E3">
        <w:rPr>
          <w:rFonts w:cs="Times New Roman"/>
          <w:i/>
          <w:szCs w:val="24"/>
          <w:lang w:val="fr-CA"/>
        </w:rPr>
        <w:t>Dictionnaire de droit québécois et canadien</w:t>
      </w:r>
      <w:r w:rsidRPr="007B79E3">
        <w:rPr>
          <w:rFonts w:cs="Times New Roman"/>
          <w:szCs w:val="24"/>
          <w:lang w:val="fr-CA"/>
        </w:rPr>
        <w:t xml:space="preserve"> (5</w:t>
      </w:r>
      <w:r w:rsidRPr="007B79E3">
        <w:rPr>
          <w:rFonts w:cs="Times New Roman"/>
          <w:szCs w:val="24"/>
          <w:vertAlign w:val="superscript"/>
          <w:lang w:val="fr-CA"/>
        </w:rPr>
        <w:t>e</w:t>
      </w:r>
      <w:r w:rsidRPr="007B79E3">
        <w:rPr>
          <w:rFonts w:cs="Times New Roman"/>
          <w:szCs w:val="24"/>
          <w:lang w:val="fr-CA"/>
        </w:rPr>
        <w:t xml:space="preserve"> éd. 2015), p. 607; voir aussi D. Dukelow, </w:t>
      </w:r>
      <w:r w:rsidRPr="007B79E3">
        <w:rPr>
          <w:rFonts w:cs="Times New Roman"/>
          <w:i/>
          <w:szCs w:val="24"/>
          <w:lang w:val="fr-CA"/>
        </w:rPr>
        <w:t>The Dictionary of Canadian Law</w:t>
      </w:r>
      <w:r w:rsidRPr="007B79E3">
        <w:rPr>
          <w:rFonts w:cs="Times New Roman"/>
          <w:szCs w:val="24"/>
          <w:lang w:val="fr-CA"/>
        </w:rPr>
        <w:t xml:space="preserve"> (4</w:t>
      </w:r>
      <w:r w:rsidRPr="007B79E3">
        <w:rPr>
          <w:rFonts w:cs="Times New Roman"/>
          <w:szCs w:val="24"/>
          <w:vertAlign w:val="superscript"/>
          <w:lang w:val="fr-CA"/>
        </w:rPr>
        <w:t>e</w:t>
      </w:r>
      <w:r w:rsidRPr="007B79E3">
        <w:rPr>
          <w:rFonts w:cs="Times New Roman"/>
          <w:szCs w:val="24"/>
          <w:lang w:val="fr-CA"/>
        </w:rPr>
        <w:t> éd. 2011), p. 1256. La nature unique des droits garantis par l’art. 35 découle autant de leur origine historique et culturelle que de leur statut de droits constitutionnels.</w:t>
      </w:r>
    </w:p>
    <w:p w:rsidR="00CF3116" w:rsidRPr="007B79E3" w:rsidRDefault="00CF3116" w:rsidP="00CF3116">
      <w:pPr>
        <w:pStyle w:val="ParaNoNdepar-AltN"/>
        <w:tabs>
          <w:tab w:val="clear" w:pos="1152"/>
          <w:tab w:val="left" w:pos="1166"/>
          <w:tab w:val="num" w:pos="1242"/>
        </w:tabs>
        <w:spacing w:before="0"/>
        <w:ind w:left="86"/>
        <w:rPr>
          <w:rFonts w:cs="Times New Roman"/>
          <w:szCs w:val="24"/>
          <w:lang w:val="fr-CA"/>
        </w:rPr>
      </w:pPr>
      <w:r w:rsidRPr="007B79E3">
        <w:rPr>
          <w:rFonts w:cs="Times New Roman"/>
          <w:szCs w:val="24"/>
          <w:lang w:val="fr-CA"/>
        </w:rPr>
        <w:t xml:space="preserve">Dans l’arrêt </w:t>
      </w:r>
      <w:r w:rsidRPr="007B79E3">
        <w:rPr>
          <w:rFonts w:cs="Times New Roman"/>
          <w:i/>
          <w:szCs w:val="24"/>
          <w:lang w:val="fr-CA"/>
        </w:rPr>
        <w:t xml:space="preserve">Van der Peet — </w:t>
      </w:r>
      <w:r w:rsidRPr="007B79E3">
        <w:rPr>
          <w:rFonts w:cs="Times New Roman"/>
          <w:szCs w:val="24"/>
          <w:lang w:val="fr-CA"/>
        </w:rPr>
        <w:t>une des premières affaires où la Cour a examiné en profondeur la nature des droits visés à l’art. 35 —, le juge en chef Lamer n’a ménagé aucun effort pour souligner le caractère unique de ces droits :</w:t>
      </w:r>
    </w:p>
    <w:p w:rsidR="00CF3116" w:rsidRPr="007B79E3" w:rsidRDefault="00CF3116" w:rsidP="00CF3116">
      <w:pPr>
        <w:pStyle w:val="Citation-AltC"/>
        <w:tabs>
          <w:tab w:val="left" w:pos="1800"/>
        </w:tabs>
        <w:spacing w:after="240"/>
        <w:ind w:hanging="1166"/>
        <w:contextualSpacing w:val="0"/>
        <w:rPr>
          <w:lang w:val="fr-FR"/>
        </w:rPr>
      </w:pPr>
      <w:r w:rsidRPr="007B79E3">
        <w:rPr>
          <w:lang w:val="fr-CA"/>
        </w:rPr>
        <w:tab/>
      </w:r>
      <w:r w:rsidRPr="007B79E3">
        <w:rPr>
          <w:lang w:val="fr-CA"/>
        </w:rPr>
        <w:tab/>
      </w:r>
      <w:r w:rsidRPr="007B79E3">
        <w:rPr>
          <w:lang w:val="fr-FR"/>
        </w:rPr>
        <w:t xml:space="preserve">Toutefois, les droits </w:t>
      </w:r>
      <w:r w:rsidRPr="007B79E3">
        <w:rPr>
          <w:u w:val="single"/>
          <w:lang w:val="fr-FR"/>
        </w:rPr>
        <w:t>ancestraux</w:t>
      </w:r>
      <w:r w:rsidRPr="007B79E3">
        <w:rPr>
          <w:lang w:val="fr-FR"/>
        </w:rPr>
        <w:t xml:space="preserve"> ne peuvent être définis par l’application des préceptes de cette philosophie. Même s’ils ont une portée et une importance égales aux droits inscrits dans la</w:t>
      </w:r>
      <w:r w:rsidRPr="007B79E3">
        <w:rPr>
          <w:i/>
          <w:iCs/>
          <w:lang w:val="fr-FR"/>
        </w:rPr>
        <w:t xml:space="preserve"> Charte</w:t>
      </w:r>
      <w:r w:rsidRPr="007B79E3">
        <w:rPr>
          <w:lang w:val="fr-FR"/>
        </w:rPr>
        <w:t>, les droits ancestraux doivent être considérés différemment des droits garantis par la</w:t>
      </w:r>
      <w:r w:rsidRPr="007B79E3">
        <w:rPr>
          <w:i/>
          <w:iCs/>
          <w:lang w:val="fr-FR"/>
        </w:rPr>
        <w:t xml:space="preserve"> Charte</w:t>
      </w:r>
      <w:r w:rsidRPr="007B79E3">
        <w:rPr>
          <w:lang w:val="fr-FR"/>
        </w:rPr>
        <w:t xml:space="preserve">, parce qu’ils sont détenus seulement par les autochtones au sein de la société canadienne. Les droits ancestraux tirent leur origine du fait que les peuples autochtones sont des </w:t>
      </w:r>
      <w:r w:rsidRPr="007B79E3">
        <w:rPr>
          <w:u w:val="single"/>
          <w:lang w:val="fr-FR"/>
        </w:rPr>
        <w:t>autochtones</w:t>
      </w:r>
      <w:r w:rsidRPr="007B79E3">
        <w:rPr>
          <w:lang w:val="fr-FR"/>
        </w:rPr>
        <w:t>. Comme l’ont souligné des commentateurs universitaires, les droits ancestraux [</w:t>
      </w:r>
      <w:r w:rsidRPr="007B79E3">
        <w:rPr>
          <w:smallCaps/>
          <w:lang w:val="fr-FR"/>
        </w:rPr>
        <w:t>traduction</w:t>
      </w:r>
      <w:r w:rsidRPr="007B79E3">
        <w:rPr>
          <w:lang w:val="fr-FR"/>
        </w:rPr>
        <w:t xml:space="preserve">] « participent de l’essence même de l’« autochtonité », Michael Asch et Patrick Macklem, « Aboriginal Rights and Canadian Sovereignty: An Essay on </w:t>
      </w:r>
      <w:r w:rsidRPr="007B79E3">
        <w:rPr>
          <w:i/>
          <w:iCs/>
          <w:lang w:val="fr-FR"/>
        </w:rPr>
        <w:t>R.</w:t>
      </w:r>
      <w:r w:rsidRPr="007B79E3">
        <w:rPr>
          <w:lang w:val="fr-FR"/>
        </w:rPr>
        <w:t xml:space="preserve"> v. </w:t>
      </w:r>
      <w:r w:rsidRPr="007B79E3">
        <w:rPr>
          <w:i/>
          <w:iCs/>
          <w:lang w:val="fr-FR"/>
        </w:rPr>
        <w:t>Sparrow </w:t>
      </w:r>
      <w:r w:rsidRPr="007B79E3">
        <w:rPr>
          <w:lang w:val="fr-FR"/>
        </w:rPr>
        <w:t xml:space="preserve">» (1991), 29 </w:t>
      </w:r>
      <w:r w:rsidRPr="007B79E3">
        <w:rPr>
          <w:i/>
          <w:iCs/>
          <w:lang w:val="fr-FR"/>
        </w:rPr>
        <w:t>Alta. L. Rev.</w:t>
      </w:r>
      <w:r w:rsidRPr="007B79E3">
        <w:rPr>
          <w:lang w:val="fr-FR"/>
        </w:rPr>
        <w:t xml:space="preserve"> 498, à la p. 502; il s’agit de droits détenus par [</w:t>
      </w:r>
      <w:r w:rsidRPr="007B79E3">
        <w:rPr>
          <w:smallCaps/>
          <w:lang w:val="fr-FR"/>
        </w:rPr>
        <w:t>traduction</w:t>
      </w:r>
      <w:r w:rsidRPr="007B79E3">
        <w:rPr>
          <w:lang w:val="fr-FR"/>
        </w:rPr>
        <w:t xml:space="preserve">] « les Indiens en tant qu’Indiens », Brian Slattery, « Understanding Aboriginal Rights » (1987), 66 </w:t>
      </w:r>
      <w:r w:rsidRPr="007B79E3">
        <w:rPr>
          <w:i/>
          <w:iCs/>
          <w:lang w:val="fr-FR"/>
        </w:rPr>
        <w:t>R. du B. can.</w:t>
      </w:r>
      <w:r w:rsidRPr="007B79E3">
        <w:rPr>
          <w:lang w:val="fr-FR"/>
        </w:rPr>
        <w:t xml:space="preserve"> 727, à la p. 776.</w:t>
      </w:r>
    </w:p>
    <w:p w:rsidR="00CF3116" w:rsidRPr="007B79E3" w:rsidRDefault="00CF3116" w:rsidP="00CF3116">
      <w:pPr>
        <w:pStyle w:val="Citation-AltC"/>
        <w:tabs>
          <w:tab w:val="left" w:pos="1800"/>
        </w:tabs>
        <w:ind w:left="1168" w:hanging="1168"/>
        <w:contextualSpacing w:val="0"/>
        <w:rPr>
          <w:lang w:val="fr-CA"/>
        </w:rPr>
      </w:pPr>
      <w:r w:rsidRPr="007B79E3">
        <w:rPr>
          <w:lang w:val="fr-FR"/>
        </w:rPr>
        <w:lastRenderedPageBreak/>
        <w:tab/>
      </w:r>
      <w:r w:rsidRPr="007B79E3">
        <w:rPr>
          <w:lang w:val="fr-FR"/>
        </w:rPr>
        <w:tab/>
      </w:r>
      <w:r w:rsidRPr="007B79E3">
        <w:rPr>
          <w:lang w:val="fr-CA"/>
        </w:rPr>
        <w:t xml:space="preserve">Notre Cour a pour tâche de définir les droits ancestraux d’une manière qui reconnaisse qu’il s’agit bien de </w:t>
      </w:r>
      <w:r w:rsidRPr="007B79E3">
        <w:rPr>
          <w:u w:val="single"/>
          <w:lang w:val="fr-CA"/>
        </w:rPr>
        <w:t>droits</w:t>
      </w:r>
      <w:r w:rsidRPr="007B79E3">
        <w:rPr>
          <w:lang w:val="fr-CA"/>
        </w:rPr>
        <w:t xml:space="preserve">, mais de droits détenus par les </w:t>
      </w:r>
      <w:r w:rsidRPr="007B79E3">
        <w:rPr>
          <w:lang w:val="fr-FR"/>
        </w:rPr>
        <w:t>autochtones</w:t>
      </w:r>
      <w:r w:rsidRPr="007B79E3">
        <w:rPr>
          <w:lang w:val="fr-CA"/>
        </w:rPr>
        <w:t xml:space="preserve"> parce qu’ils sont des </w:t>
      </w:r>
      <w:r w:rsidRPr="007B79E3">
        <w:rPr>
          <w:u w:val="single"/>
          <w:lang w:val="fr-CA"/>
        </w:rPr>
        <w:t>autochtones</w:t>
      </w:r>
      <w:r w:rsidRPr="007B79E3">
        <w:rPr>
          <w:lang w:val="fr-CA"/>
        </w:rPr>
        <w:t xml:space="preserve">. Notre Cour ne doit pas perdre de vue le statut constitutionnel généralisé des droits protégés par le par. 35(1), mais elle ne peut pas non plus faire abstraction de la nécessaire spécificité qui résulte de la protection constitutionnelle spéciale accordée à un segment de la société canadienne. Notre Cour doit définir la portée du par. 35(1) d’une manière qui permet de cerner </w:t>
      </w:r>
      <w:r w:rsidRPr="007B79E3">
        <w:rPr>
          <w:u w:val="single"/>
          <w:lang w:val="fr-CA"/>
        </w:rPr>
        <w:t>à la fois</w:t>
      </w:r>
      <w:r w:rsidRPr="007B79E3">
        <w:rPr>
          <w:lang w:val="fr-CA"/>
        </w:rPr>
        <w:t xml:space="preserve"> l’aspect « ancestral » et l’aspect « droit » dans l’expression « droits ancestraux ». [Soulignement dans l’original; par. 19</w:t>
      </w:r>
      <w:r w:rsidRPr="007B79E3">
        <w:rPr>
          <w:lang w:val="fr-CA"/>
        </w:rPr>
        <w:noBreakHyphen/>
        <w:t>20]</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Le</w:t>
      </w:r>
      <w:r>
        <w:rPr>
          <w:rFonts w:cs="Times New Roman"/>
          <w:szCs w:val="24"/>
          <w:lang w:val="fr-CA"/>
        </w:rPr>
        <w:t>s droits protégés par l’art.</w:t>
      </w:r>
      <w:r w:rsidRPr="007B79E3">
        <w:rPr>
          <w:rFonts w:cs="Times New Roman"/>
          <w:szCs w:val="24"/>
          <w:lang w:val="fr-CA"/>
        </w:rPr>
        <w:t xml:space="preserve"> 35 couvrent un vaste éventail de sujets, englobant les titres jusqu’à l’utilisation du tabac et ils touchent tous les aspects de la vie, de l’adoption d’enfants à la commémoration des lieux de sépulture des ancêtres de la communauté : K. Wilkins, </w:t>
      </w:r>
      <w:r w:rsidRPr="007B79E3">
        <w:rPr>
          <w:rFonts w:cs="Times New Roman"/>
          <w:i/>
          <w:szCs w:val="24"/>
          <w:lang w:val="fr-CA"/>
        </w:rPr>
        <w:t>Essentials of Canadian Aboriginal Law</w:t>
      </w:r>
      <w:r w:rsidRPr="007B79E3">
        <w:rPr>
          <w:rFonts w:cs="Times New Roman"/>
          <w:szCs w:val="24"/>
          <w:lang w:val="fr-CA"/>
        </w:rPr>
        <w:t xml:space="preserve"> (2018), p. 195. Même si bon nombre de ces droits concernent le lien entre les peuples autochtones et le territoire, la Cour a mis en garde contre le fait de « se concentrer sur les rapports qu’entretiennent les peuples autochtones avec le territoire au point de négliger les autres facteurs pertinents pour l’identification et la définition des droits ancestraux » : </w:t>
      </w:r>
      <w:r w:rsidRPr="007B79E3">
        <w:rPr>
          <w:rFonts w:cs="Times New Roman"/>
          <w:i/>
          <w:szCs w:val="24"/>
          <w:lang w:val="fr-CA"/>
        </w:rPr>
        <w:t>Van der Peet</w:t>
      </w:r>
      <w:r w:rsidRPr="007B79E3">
        <w:rPr>
          <w:rFonts w:cs="Times New Roman"/>
          <w:szCs w:val="24"/>
          <w:lang w:val="fr-CA"/>
        </w:rPr>
        <w:t xml:space="preserve">, par. 74. La Cour favorise plutôt une interprétation selon laquelle on considère que les droits garantis par l’art. 35 s’étalent le long d’un spectre, certains ayant des liens plus intimes avec le territoire que d’autres. Lorsque l’occupation historique et les cultures distinctives sont reconnues comme étant des sources de droits ancestraux, les tribunaux tiennent mieux compte de l’histoire et des réalités diversifiées des sociétés autochtones : voir, par ex., B. Slattery, « The Metamorphosis of Aboriginal Title » (2006), 85 </w:t>
      </w:r>
      <w:r w:rsidRPr="007B79E3">
        <w:rPr>
          <w:rFonts w:cs="Times New Roman"/>
          <w:i/>
          <w:iCs/>
          <w:szCs w:val="24"/>
          <w:lang w:val="fr-CA"/>
        </w:rPr>
        <w:t>Rev.</w:t>
      </w:r>
      <w:r w:rsidR="0065691B">
        <w:rPr>
          <w:rFonts w:cs="Times New Roman"/>
          <w:i/>
          <w:iCs/>
          <w:szCs w:val="24"/>
          <w:lang w:val="fr-CA"/>
        </w:rPr>
        <w:t xml:space="preserve"> du </w:t>
      </w:r>
      <w:r w:rsidRPr="007B79E3">
        <w:rPr>
          <w:rFonts w:cs="Times New Roman"/>
          <w:i/>
          <w:iCs/>
          <w:szCs w:val="24"/>
          <w:lang w:val="fr-CA"/>
        </w:rPr>
        <w:t>B</w:t>
      </w:r>
      <w:r w:rsidR="0065691B">
        <w:rPr>
          <w:rFonts w:cs="Times New Roman"/>
          <w:i/>
          <w:iCs/>
          <w:szCs w:val="24"/>
          <w:lang w:val="fr-CA"/>
        </w:rPr>
        <w:t>. c</w:t>
      </w:r>
      <w:r w:rsidRPr="007B79E3">
        <w:rPr>
          <w:rFonts w:cs="Times New Roman"/>
          <w:i/>
          <w:iCs/>
          <w:szCs w:val="24"/>
          <w:lang w:val="fr-CA"/>
        </w:rPr>
        <w:t>an.</w:t>
      </w:r>
      <w:r w:rsidRPr="007B79E3">
        <w:rPr>
          <w:rFonts w:cs="Times New Roman"/>
          <w:szCs w:val="24"/>
          <w:lang w:val="fr-CA"/>
        </w:rPr>
        <w:t xml:space="preserve"> 255, p. 270. Le titre ancestral est donc une sous</w:t>
      </w:r>
      <w:r w:rsidRPr="007B79E3">
        <w:rPr>
          <w:rFonts w:cs="Times New Roman"/>
          <w:szCs w:val="24"/>
          <w:lang w:val="fr-CA"/>
        </w:rPr>
        <w:noBreakHyphen/>
        <w:t xml:space="preserve">catégorie de droits ancestraux : </w:t>
      </w:r>
      <w:r w:rsidRPr="007B79E3">
        <w:rPr>
          <w:rFonts w:cs="Times New Roman"/>
          <w:i/>
          <w:szCs w:val="24"/>
          <w:lang w:val="fr-CA"/>
        </w:rPr>
        <w:t>Van der Peet</w:t>
      </w:r>
      <w:r w:rsidRPr="007B79E3">
        <w:rPr>
          <w:rFonts w:cs="Times New Roman"/>
          <w:szCs w:val="24"/>
          <w:lang w:val="fr-CA"/>
        </w:rPr>
        <w:t>, par. 74.</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Dans le contexte de la présente affaire, la Cour supérieure a déclaré </w:t>
      </w:r>
      <w:r>
        <w:rPr>
          <w:rFonts w:cs="Times New Roman"/>
          <w:szCs w:val="24"/>
          <w:lang w:val="fr-CA"/>
        </w:rPr>
        <w:t xml:space="preserve">antérieurement </w:t>
      </w:r>
      <w:r w:rsidRPr="007B79E3">
        <w:rPr>
          <w:rFonts w:cs="Times New Roman"/>
          <w:szCs w:val="24"/>
          <w:lang w:val="fr-CA"/>
        </w:rPr>
        <w:t xml:space="preserve">que la reconnaissance des droits des autochtones n’est pas </w:t>
      </w:r>
      <w:r w:rsidRPr="007B79E3">
        <w:rPr>
          <w:rFonts w:cs="Times New Roman"/>
          <w:szCs w:val="24"/>
          <w:lang w:val="fr-CA"/>
        </w:rPr>
        <w:lastRenderedPageBreak/>
        <w:t xml:space="preserve">nécessairement une condition préalable </w:t>
      </w:r>
      <w:r>
        <w:rPr>
          <w:rFonts w:cs="Times New Roman"/>
          <w:szCs w:val="24"/>
          <w:lang w:val="fr-CA"/>
        </w:rPr>
        <w:t>à la responsabilité des compagnies</w:t>
      </w:r>
      <w:r w:rsidRPr="007B79E3">
        <w:rPr>
          <w:rFonts w:cs="Times New Roman"/>
          <w:szCs w:val="24"/>
          <w:lang w:val="fr-CA"/>
        </w:rPr>
        <w:t xml:space="preserve"> minières : voir </w:t>
      </w:r>
      <w:r w:rsidRPr="007B79E3">
        <w:rPr>
          <w:rFonts w:cs="Times New Roman"/>
          <w:i/>
          <w:szCs w:val="24"/>
          <w:lang w:val="fr-CA"/>
        </w:rPr>
        <w:t>Uashaunnuat (Innus de Uashat et de Mani</w:t>
      </w:r>
      <w:r w:rsidRPr="007B79E3">
        <w:rPr>
          <w:rFonts w:cs="Times New Roman"/>
          <w:i/>
          <w:szCs w:val="24"/>
          <w:lang w:val="fr-CA"/>
        </w:rPr>
        <w:noBreakHyphen/>
        <w:t>Utenam) c. Compagnie minière IOC inc. (Iron Ore Company of Canada)</w:t>
      </w:r>
      <w:r w:rsidRPr="007B79E3">
        <w:rPr>
          <w:rFonts w:cs="Times New Roman"/>
          <w:szCs w:val="24"/>
          <w:lang w:val="fr-CA"/>
        </w:rPr>
        <w:t>, 2014 QCCS 4403, par. 33 et 45</w:t>
      </w:r>
      <w:r w:rsidRPr="007B79E3">
        <w:rPr>
          <w:rFonts w:cs="Times New Roman"/>
          <w:szCs w:val="24"/>
          <w:lang w:val="fr-CA"/>
        </w:rPr>
        <w:noBreakHyphen/>
        <w:t xml:space="preserve">46, autorisation d’interjeter appel refusée, 2015 QCCA 2, autorisation d’interjeter appel refusée, [2015] 3 R.C.S. vi. En effet, les Innus peuvent intenter un recours fondé sur </w:t>
      </w:r>
      <w:proofErr w:type="gramStart"/>
      <w:r w:rsidRPr="007B79E3">
        <w:rPr>
          <w:rFonts w:cs="Times New Roman"/>
          <w:szCs w:val="24"/>
          <w:lang w:val="fr-CA"/>
        </w:rPr>
        <w:t>les art</w:t>
      </w:r>
      <w:proofErr w:type="gramEnd"/>
      <w:r w:rsidRPr="007B79E3">
        <w:rPr>
          <w:rFonts w:cs="Times New Roman"/>
          <w:szCs w:val="24"/>
          <w:lang w:val="fr-CA"/>
        </w:rPr>
        <w:t xml:space="preserve">. 976 et 1457 du </w:t>
      </w:r>
      <w:r w:rsidRPr="007B79E3">
        <w:rPr>
          <w:rFonts w:cs="Times New Roman"/>
          <w:i/>
          <w:szCs w:val="24"/>
          <w:lang w:val="fr-CA"/>
        </w:rPr>
        <w:t>C.c.Q.</w:t>
      </w:r>
      <w:r w:rsidRPr="007B79E3">
        <w:rPr>
          <w:rFonts w:cs="Times New Roman"/>
          <w:szCs w:val="24"/>
          <w:lang w:val="fr-CA"/>
        </w:rPr>
        <w:t xml:space="preserve"> même en l’absence d’une déclaration attestant de l’existence de droits ancestraux, comme n’importe qui d’autre pourrait le faire. Cependant, étant donné les arg</w:t>
      </w:r>
      <w:r w:rsidR="00F75574">
        <w:rPr>
          <w:rFonts w:cs="Times New Roman"/>
          <w:szCs w:val="24"/>
          <w:lang w:val="fr-CA"/>
        </w:rPr>
        <w:t>uments soulevés par la Couronne</w:t>
      </w:r>
      <w:r w:rsidRPr="007B79E3">
        <w:rPr>
          <w:rFonts w:cs="Times New Roman"/>
          <w:szCs w:val="24"/>
          <w:lang w:val="fr-CA"/>
        </w:rPr>
        <w:t xml:space="preserve">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 la nature du titre ancestral mérite que l’on s’y attarde.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Au Canada, le titre ancestral est antérieur à tous les autres droits sur le territoire et il découle de l’occupation historique de celui</w:t>
      </w:r>
      <w:r w:rsidRPr="007B79E3">
        <w:rPr>
          <w:rFonts w:cs="Times New Roman"/>
          <w:szCs w:val="24"/>
          <w:lang w:val="fr-CA"/>
        </w:rPr>
        <w:noBreakHyphen/>
        <w:t xml:space="preserve">ci par des peuples de cultures distinctes : </w:t>
      </w:r>
      <w:r w:rsidRPr="007B79E3">
        <w:rPr>
          <w:rFonts w:cs="Times New Roman"/>
          <w:i/>
          <w:szCs w:val="24"/>
          <w:lang w:val="fr-CA"/>
        </w:rPr>
        <w:t>Calder c. Procureur général de la Colombie</w:t>
      </w:r>
      <w:r w:rsidRPr="007B79E3">
        <w:rPr>
          <w:rFonts w:cs="Times New Roman"/>
          <w:i/>
          <w:szCs w:val="24"/>
          <w:lang w:val="fr-CA"/>
        </w:rPr>
        <w:noBreakHyphen/>
        <w:t>Britannique</w:t>
      </w:r>
      <w:r w:rsidRPr="007B79E3">
        <w:rPr>
          <w:rFonts w:cs="Times New Roman"/>
          <w:szCs w:val="24"/>
          <w:lang w:val="fr-CA"/>
        </w:rPr>
        <w:t xml:space="preserve">, [1973] R.C.S. 313, p. 328; </w:t>
      </w:r>
      <w:r w:rsidRPr="007B79E3">
        <w:rPr>
          <w:rFonts w:cs="Times New Roman"/>
          <w:i/>
          <w:szCs w:val="24"/>
          <w:lang w:val="fr-CA" w:bidi="en-US"/>
        </w:rPr>
        <w:t>Guerin c. La Reine</w:t>
      </w:r>
      <w:r w:rsidRPr="007B79E3">
        <w:rPr>
          <w:rFonts w:cs="Times New Roman"/>
          <w:szCs w:val="24"/>
          <w:lang w:val="fr-CA" w:bidi="en-US"/>
        </w:rPr>
        <w:t xml:space="preserve">, </w:t>
      </w:r>
      <w:r w:rsidRPr="007B79E3">
        <w:rPr>
          <w:rFonts w:cs="Times New Roman"/>
          <w:szCs w:val="24"/>
          <w:lang w:val="fr-CA"/>
        </w:rPr>
        <w:t>[1984] 2 R.C.S. 335, p. 376</w:t>
      </w:r>
      <w:r w:rsidRPr="007B79E3">
        <w:rPr>
          <w:rFonts w:cs="Times New Roman"/>
          <w:szCs w:val="24"/>
          <w:lang w:val="fr-CA"/>
        </w:rPr>
        <w:noBreakHyphen/>
        <w:t xml:space="preserve">378; </w:t>
      </w:r>
      <w:r w:rsidRPr="007B79E3">
        <w:rPr>
          <w:rFonts w:cs="Times New Roman"/>
          <w:i/>
          <w:szCs w:val="24"/>
          <w:lang w:val="fr-CA"/>
        </w:rPr>
        <w:t>Roberts c. Canada</w:t>
      </w:r>
      <w:r w:rsidRPr="007B79E3">
        <w:rPr>
          <w:rFonts w:cs="Times New Roman"/>
          <w:szCs w:val="24"/>
          <w:lang w:val="fr-CA"/>
        </w:rPr>
        <w:t xml:space="preserve">, [1989] 1 R.C.S. 322, p. 340; </w:t>
      </w:r>
      <w:r w:rsidRPr="007B79E3">
        <w:rPr>
          <w:rFonts w:cs="Times New Roman"/>
          <w:i/>
          <w:szCs w:val="24"/>
          <w:lang w:val="fr-CA"/>
        </w:rPr>
        <w:t>Delgamuukw c. Colombie</w:t>
      </w:r>
      <w:r w:rsidRPr="007B79E3">
        <w:rPr>
          <w:rFonts w:cs="Times New Roman"/>
          <w:i/>
          <w:szCs w:val="24"/>
          <w:lang w:val="fr-CA"/>
        </w:rPr>
        <w:noBreakHyphen/>
        <w:t>Britannique</w:t>
      </w:r>
      <w:r w:rsidRPr="007B79E3">
        <w:rPr>
          <w:rFonts w:cs="Times New Roman"/>
          <w:szCs w:val="24"/>
          <w:lang w:val="fr-CA"/>
        </w:rPr>
        <w:t xml:space="preserve">, [1997] 3 R.C.S. 1010, par. 114. À l’instar des droits ancestraux de façon plus générale, le titre ancestral est un droit </w:t>
      </w:r>
      <w:r w:rsidRPr="007B79E3">
        <w:rPr>
          <w:rFonts w:cs="Times New Roman"/>
          <w:i/>
          <w:szCs w:val="24"/>
          <w:lang w:val="fr-CA"/>
        </w:rPr>
        <w:t>sui generis</w:t>
      </w:r>
      <w:r w:rsidRPr="007B79E3">
        <w:rPr>
          <w:rFonts w:cs="Times New Roman"/>
          <w:szCs w:val="24"/>
          <w:lang w:val="fr-CA"/>
        </w:rPr>
        <w:t xml:space="preserve">. Avant même l’arrêt </w:t>
      </w:r>
      <w:r w:rsidRPr="007B79E3">
        <w:rPr>
          <w:rFonts w:cs="Times New Roman"/>
          <w:i/>
          <w:szCs w:val="24"/>
          <w:lang w:val="fr-CA"/>
        </w:rPr>
        <w:t>Nation Tsilhqot’in c. Colombie</w:t>
      </w:r>
      <w:r w:rsidRPr="007B79E3">
        <w:rPr>
          <w:rFonts w:cs="Times New Roman"/>
          <w:i/>
          <w:szCs w:val="24"/>
          <w:lang w:val="fr-CA"/>
        </w:rPr>
        <w:noBreakHyphen/>
        <w:t>Britannique</w:t>
      </w:r>
      <w:r w:rsidRPr="007B79E3">
        <w:rPr>
          <w:rFonts w:cs="Times New Roman"/>
          <w:szCs w:val="24"/>
          <w:lang w:val="fr-CA"/>
        </w:rPr>
        <w:t xml:space="preserve">, 2014 CSC 44, [2014] 2 R.C.S. 257, par. 72, la Cour a indiqué à maintes reprises qu’il fallait veiller à ne pas confondre le titre ancestral avec les concepts traditionnels de droit civil ou de common law relatifs au droit des biens, ou même à ne pas qualifier ce titre en utilisant la terminologie habituelle du droit des biens : </w:t>
      </w:r>
      <w:r w:rsidRPr="007B79E3">
        <w:rPr>
          <w:rFonts w:cs="Times New Roman"/>
          <w:i/>
          <w:iCs/>
          <w:szCs w:val="24"/>
          <w:lang w:val="fr-CA"/>
        </w:rPr>
        <w:t>St. Catherine’s Milling and Lumber Company c. The Queen</w:t>
      </w:r>
      <w:r w:rsidRPr="007B79E3">
        <w:rPr>
          <w:rFonts w:cs="Times New Roman"/>
          <w:szCs w:val="24"/>
          <w:lang w:val="fr-CA"/>
        </w:rPr>
        <w:t xml:space="preserve"> (1888), 14 App. Cas. 46 (C.P.), p. 54; </w:t>
      </w:r>
      <w:r w:rsidRPr="007B79E3">
        <w:rPr>
          <w:rFonts w:cs="Times New Roman"/>
          <w:i/>
          <w:szCs w:val="24"/>
          <w:lang w:val="fr-CA"/>
        </w:rPr>
        <w:t>Guerin</w:t>
      </w:r>
      <w:r w:rsidRPr="007B79E3">
        <w:rPr>
          <w:rFonts w:cs="Times New Roman"/>
          <w:szCs w:val="24"/>
          <w:lang w:val="fr-CA"/>
        </w:rPr>
        <w:t>,</w:t>
      </w:r>
      <w:r w:rsidRPr="007B79E3">
        <w:rPr>
          <w:rFonts w:cs="Times New Roman"/>
          <w:i/>
          <w:szCs w:val="24"/>
          <w:lang w:val="fr-CA"/>
        </w:rPr>
        <w:t xml:space="preserve"> </w:t>
      </w:r>
      <w:r w:rsidRPr="007B79E3">
        <w:rPr>
          <w:rFonts w:cs="Times New Roman"/>
          <w:szCs w:val="24"/>
          <w:lang w:val="fr-CA"/>
        </w:rPr>
        <w:t xml:space="preserve">p. 382; </w:t>
      </w:r>
      <w:r w:rsidRPr="007B79E3">
        <w:rPr>
          <w:rFonts w:cs="Times New Roman"/>
          <w:i/>
          <w:szCs w:val="24"/>
          <w:lang w:val="fr-CA"/>
        </w:rPr>
        <w:t>Canadien Pacifique Ltée c. Paul</w:t>
      </w:r>
      <w:r w:rsidRPr="007B79E3">
        <w:rPr>
          <w:rFonts w:cs="Times New Roman"/>
          <w:szCs w:val="24"/>
          <w:lang w:val="fr-CA"/>
        </w:rPr>
        <w:t>, [1988] 2 R.C.S. 654, p. 677</w:t>
      </w:r>
      <w:r w:rsidRPr="007B79E3">
        <w:rPr>
          <w:rFonts w:cs="Times New Roman"/>
          <w:szCs w:val="24"/>
          <w:lang w:val="fr-CA"/>
        </w:rPr>
        <w:noBreakHyphen/>
        <w:t xml:space="preserve">678; </w:t>
      </w:r>
      <w:r w:rsidRPr="007B79E3">
        <w:rPr>
          <w:rFonts w:cs="Times New Roman"/>
          <w:i/>
          <w:szCs w:val="24"/>
          <w:lang w:val="fr-CA"/>
        </w:rPr>
        <w:t>Bande indienne de la rivière Blueberry c. Canada (Ministère des Affaires indiennes et du Nord canadien)</w:t>
      </w:r>
      <w:r w:rsidRPr="007B79E3">
        <w:rPr>
          <w:rFonts w:cs="Times New Roman"/>
          <w:szCs w:val="24"/>
          <w:lang w:val="fr-CA"/>
        </w:rPr>
        <w:t>, [1995] 4 R.C.S. 344, par. 6</w:t>
      </w:r>
      <w:r w:rsidRPr="007B79E3">
        <w:rPr>
          <w:rFonts w:cs="Times New Roman"/>
          <w:szCs w:val="24"/>
          <w:lang w:val="fr-CA"/>
        </w:rPr>
        <w:noBreakHyphen/>
        <w:t xml:space="preserve">7; </w:t>
      </w:r>
      <w:r w:rsidRPr="007B79E3">
        <w:rPr>
          <w:rFonts w:cs="Times New Roman"/>
          <w:i/>
          <w:szCs w:val="24"/>
          <w:lang w:val="fr-CA"/>
        </w:rPr>
        <w:lastRenderedPageBreak/>
        <w:t>Van der Peet</w:t>
      </w:r>
      <w:r w:rsidRPr="007B79E3">
        <w:rPr>
          <w:rFonts w:cs="Times New Roman"/>
          <w:szCs w:val="24"/>
          <w:lang w:val="fr-CA"/>
        </w:rPr>
        <w:t xml:space="preserve">, par. 115 (motifs dissidents de la juge L’Heureux-Dubé); </w:t>
      </w:r>
      <w:r w:rsidRPr="007B79E3">
        <w:rPr>
          <w:rFonts w:cs="Times New Roman"/>
          <w:i/>
          <w:szCs w:val="24"/>
          <w:lang w:val="fr-CA"/>
        </w:rPr>
        <w:t>Bande indienne de St. Mary’s c. Cranbrook (Ville)</w:t>
      </w:r>
      <w:r w:rsidRPr="007B79E3">
        <w:rPr>
          <w:rFonts w:cs="Times New Roman"/>
          <w:szCs w:val="24"/>
          <w:lang w:val="fr-CA"/>
        </w:rPr>
        <w:t>, [1</w:t>
      </w:r>
      <w:r w:rsidR="0065691B">
        <w:rPr>
          <w:rFonts w:cs="Times New Roman"/>
          <w:szCs w:val="24"/>
          <w:lang w:val="fr-CA"/>
        </w:rPr>
        <w:t xml:space="preserve">997] 2 R.C.S. 657, par. 14 et </w:t>
      </w:r>
      <w:proofErr w:type="gramStart"/>
      <w:r w:rsidR="0065691B">
        <w:rPr>
          <w:rFonts w:cs="Times New Roman"/>
          <w:szCs w:val="24"/>
          <w:lang w:val="fr-CA"/>
        </w:rPr>
        <w:t>suiv</w:t>
      </w:r>
      <w:r w:rsidRPr="007B79E3">
        <w:rPr>
          <w:rFonts w:cs="Times New Roman"/>
          <w:szCs w:val="24"/>
          <w:lang w:val="fr-CA"/>
        </w:rPr>
        <w:t>.;</w:t>
      </w:r>
      <w:proofErr w:type="gramEnd"/>
      <w:r w:rsidRPr="007B79E3">
        <w:rPr>
          <w:rFonts w:cs="Times New Roman"/>
          <w:szCs w:val="24"/>
          <w:lang w:val="fr-CA"/>
        </w:rPr>
        <w:t xml:space="preserve"> </w:t>
      </w:r>
      <w:r w:rsidRPr="007B79E3">
        <w:rPr>
          <w:rFonts w:cs="Times New Roman"/>
          <w:i/>
          <w:szCs w:val="24"/>
          <w:lang w:val="fr-CA"/>
        </w:rPr>
        <w:t>Delgamuukw</w:t>
      </w:r>
      <w:r w:rsidRPr="007B79E3">
        <w:rPr>
          <w:rFonts w:cs="Times New Roman"/>
          <w:szCs w:val="24"/>
          <w:lang w:val="fr-CA"/>
        </w:rPr>
        <w:t>, par</w:t>
      </w:r>
      <w:r w:rsidR="0065691B">
        <w:rPr>
          <w:rFonts w:cs="Times New Roman"/>
          <w:szCs w:val="24"/>
          <w:lang w:val="fr-CA"/>
        </w:rPr>
        <w:t xml:space="preserve">. 111 et </w:t>
      </w:r>
      <w:proofErr w:type="gramStart"/>
      <w:r w:rsidR="0065691B">
        <w:rPr>
          <w:rFonts w:cs="Times New Roman"/>
          <w:szCs w:val="24"/>
          <w:lang w:val="fr-CA"/>
        </w:rPr>
        <w:t>suiv</w:t>
      </w:r>
      <w:r w:rsidRPr="007B79E3">
        <w:rPr>
          <w:rFonts w:cs="Times New Roman"/>
          <w:szCs w:val="24"/>
          <w:lang w:val="fr-CA"/>
        </w:rPr>
        <w:t>.;</w:t>
      </w:r>
      <w:proofErr w:type="gramEnd"/>
      <w:r w:rsidRPr="007B79E3">
        <w:rPr>
          <w:rFonts w:cs="Times New Roman"/>
          <w:szCs w:val="24"/>
          <w:lang w:val="fr-CA"/>
        </w:rPr>
        <w:t xml:space="preserve"> </w:t>
      </w:r>
      <w:r w:rsidRPr="007B79E3">
        <w:rPr>
          <w:rFonts w:cs="Times New Roman"/>
          <w:i/>
          <w:szCs w:val="24"/>
          <w:lang w:val="fr-CA"/>
        </w:rPr>
        <w:t>R. c. Marshall</w:t>
      </w:r>
      <w:r w:rsidRPr="007B79E3">
        <w:rPr>
          <w:rFonts w:cs="Times New Roman"/>
          <w:szCs w:val="24"/>
          <w:lang w:val="fr-CA"/>
        </w:rPr>
        <w:t xml:space="preserve">, 2005 CSC 43, [2005] 2 R.C.S. 220, par. 129 (motifs concordants du juge LeBel); </w:t>
      </w:r>
      <w:r w:rsidRPr="007B79E3">
        <w:rPr>
          <w:rFonts w:cs="Times New Roman"/>
          <w:i/>
          <w:szCs w:val="24"/>
          <w:lang w:val="fr-CA"/>
        </w:rPr>
        <w:t>R. c. Sappier</w:t>
      </w:r>
      <w:r w:rsidRPr="007B79E3">
        <w:rPr>
          <w:rFonts w:cs="Times New Roman"/>
          <w:szCs w:val="24"/>
          <w:lang w:val="fr-CA"/>
        </w:rPr>
        <w:t>, 2006 CSC 54, [2006] 2 R.C.S. 686, par. 21.</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En raison de la façon dont il a pris naissance dans le cadre de la relation particulière qui existe entre la Couronne et les peuples autochtones, le titre ancestral </w:t>
      </w:r>
      <w:proofErr w:type="gramStart"/>
      <w:r w:rsidRPr="007B79E3">
        <w:rPr>
          <w:rFonts w:cs="Times New Roman"/>
          <w:szCs w:val="24"/>
          <w:lang w:val="fr-CA"/>
        </w:rPr>
        <w:t>présente</w:t>
      </w:r>
      <w:proofErr w:type="gramEnd"/>
      <w:r w:rsidRPr="007B79E3">
        <w:rPr>
          <w:rFonts w:cs="Times New Roman"/>
          <w:szCs w:val="24"/>
          <w:lang w:val="fr-CA"/>
        </w:rPr>
        <w:t xml:space="preserve"> des caractéristiques uniques qui le distinguent des notions de propriété du droit civil et de la common law. Le titre ancestral est un titre intrinsèquement collectif qui est détenu non seulement au profit de la génération actuelle, mais aussi de toutes les générations à venir : </w:t>
      </w:r>
      <w:r w:rsidRPr="007B79E3">
        <w:rPr>
          <w:rFonts w:cs="Times New Roman"/>
          <w:i/>
          <w:iCs/>
          <w:szCs w:val="24"/>
          <w:lang w:val="fr-CA"/>
        </w:rPr>
        <w:t>Nation Tsilhqot’in</w:t>
      </w:r>
      <w:r w:rsidRPr="007B79E3">
        <w:rPr>
          <w:rFonts w:cs="Times New Roman"/>
          <w:iCs/>
          <w:szCs w:val="24"/>
          <w:lang w:val="fr-CA"/>
        </w:rPr>
        <w:t>,</w:t>
      </w:r>
      <w:r w:rsidRPr="007B79E3">
        <w:rPr>
          <w:rFonts w:cs="Times New Roman"/>
          <w:szCs w:val="24"/>
          <w:lang w:val="fr-CA"/>
        </w:rPr>
        <w:t xml:space="preserve"> par. 74; voir aussi B. Slattery, « The Constitutional Dimensions of Aboriginal Title » (2015), 71 </w:t>
      </w:r>
      <w:r w:rsidRPr="007B79E3">
        <w:rPr>
          <w:rFonts w:cs="Times New Roman"/>
          <w:i/>
          <w:szCs w:val="24"/>
          <w:lang w:val="fr-CA"/>
        </w:rPr>
        <w:t>S.C.L.R.</w:t>
      </w:r>
      <w:r w:rsidRPr="007B79E3">
        <w:rPr>
          <w:rFonts w:cs="Times New Roman"/>
          <w:szCs w:val="24"/>
          <w:lang w:val="fr-CA"/>
        </w:rPr>
        <w:t xml:space="preserve"> (2d) 45, p. 45</w:t>
      </w:r>
      <w:r w:rsidRPr="007B79E3">
        <w:rPr>
          <w:rFonts w:cs="Times New Roman"/>
          <w:szCs w:val="24"/>
          <w:lang w:val="fr-CA"/>
        </w:rPr>
        <w:noBreakHyphen/>
        <w:t xml:space="preserve">47. Pour permettre </w:t>
      </w:r>
      <w:r w:rsidRPr="007B79E3">
        <w:rPr>
          <w:rFonts w:cs="Times New Roman"/>
          <w:i/>
          <w:iCs/>
          <w:szCs w:val="24"/>
          <w:lang w:val="fr-CA"/>
        </w:rPr>
        <w:t>tant</w:t>
      </w:r>
      <w:r w:rsidRPr="007B79E3">
        <w:rPr>
          <w:rFonts w:cs="Times New Roman"/>
          <w:szCs w:val="24"/>
          <w:lang w:val="fr-CA"/>
        </w:rPr>
        <w:t xml:space="preserve"> aux générations actuelles </w:t>
      </w:r>
      <w:r w:rsidRPr="007B79E3">
        <w:rPr>
          <w:rFonts w:cs="Times New Roman"/>
          <w:i/>
          <w:szCs w:val="24"/>
          <w:lang w:val="fr-CA"/>
        </w:rPr>
        <w:t>qu’</w:t>
      </w:r>
      <w:r w:rsidRPr="007B79E3">
        <w:rPr>
          <w:rFonts w:cs="Times New Roman"/>
          <w:szCs w:val="24"/>
          <w:lang w:val="fr-CA"/>
        </w:rPr>
        <w:t xml:space="preserve">aux générations futures d’en jouir, le titre ancestral prévoit des restrictions à la cession des </w:t>
      </w:r>
      <w:r w:rsidRPr="007B79E3">
        <w:rPr>
          <w:rFonts w:cs="Times New Roman"/>
          <w:szCs w:val="24"/>
          <w:shd w:val="clear" w:color="auto" w:fill="FFFFFF"/>
          <w:lang w:val="fr-CA"/>
        </w:rPr>
        <w:t xml:space="preserve">terres et à </w:t>
      </w:r>
      <w:r w:rsidRPr="007B79E3">
        <w:rPr>
          <w:rFonts w:cs="Times New Roman"/>
          <w:szCs w:val="24"/>
          <w:lang w:val="fr-CA"/>
        </w:rPr>
        <w:t xml:space="preserve">l’utilisation qu’on peut en faire : </w:t>
      </w:r>
      <w:r w:rsidRPr="007B79E3">
        <w:rPr>
          <w:rFonts w:cs="Times New Roman"/>
          <w:i/>
          <w:iCs/>
          <w:szCs w:val="24"/>
          <w:lang w:val="fr-CA"/>
        </w:rPr>
        <w:t>Nation Tsilhqot’in</w:t>
      </w:r>
      <w:r w:rsidRPr="007B79E3">
        <w:rPr>
          <w:rFonts w:cs="Times New Roman"/>
          <w:szCs w:val="24"/>
          <w:lang w:val="fr-CA"/>
        </w:rPr>
        <w:t xml:space="preserve">, par. 74. Ces caractéristiques sont incompatibles avec la propriété au sens du droit civil et de la common law : voir K. Anker, « Translating </w:t>
      </w:r>
      <w:r w:rsidRPr="007B79E3">
        <w:rPr>
          <w:rFonts w:cs="Times New Roman"/>
          <w:i/>
          <w:szCs w:val="24"/>
          <w:lang w:val="fr-CA"/>
        </w:rPr>
        <w:t>Sui Generis</w:t>
      </w:r>
      <w:r w:rsidRPr="007B79E3">
        <w:rPr>
          <w:rFonts w:cs="Times New Roman"/>
          <w:szCs w:val="24"/>
          <w:lang w:val="fr-CA"/>
        </w:rPr>
        <w:t xml:space="preserve"> Aboriginal Rights in the Civilian Imagination », dans A. Popovici, L. Smith et R. Tremblay</w:t>
      </w:r>
      <w:r>
        <w:rPr>
          <w:rFonts w:cs="Times New Roman"/>
          <w:szCs w:val="24"/>
          <w:lang w:val="fr-CA"/>
        </w:rPr>
        <w:t xml:space="preserve">, </w:t>
      </w:r>
      <w:proofErr w:type="gramStart"/>
      <w:r>
        <w:rPr>
          <w:rFonts w:cs="Times New Roman"/>
          <w:szCs w:val="24"/>
          <w:lang w:val="fr-CA"/>
        </w:rPr>
        <w:t>dir</w:t>
      </w:r>
      <w:r w:rsidRPr="007B79E3">
        <w:rPr>
          <w:rFonts w:cs="Times New Roman"/>
          <w:szCs w:val="24"/>
          <w:lang w:val="fr-CA"/>
        </w:rPr>
        <w:t>.,</w:t>
      </w:r>
      <w:proofErr w:type="gramEnd"/>
      <w:r w:rsidRPr="007B79E3">
        <w:rPr>
          <w:rFonts w:cs="Times New Roman"/>
          <w:szCs w:val="24"/>
          <w:lang w:val="fr-CA"/>
        </w:rPr>
        <w:t xml:space="preserve"> </w:t>
      </w:r>
      <w:r w:rsidRPr="007B79E3">
        <w:rPr>
          <w:rFonts w:cs="Times New Roman"/>
          <w:i/>
          <w:iCs/>
          <w:szCs w:val="24"/>
          <w:lang w:val="fr-CA"/>
        </w:rPr>
        <w:t>Les intraduisibles en droit civil</w:t>
      </w:r>
      <w:r w:rsidRPr="007B79E3">
        <w:rPr>
          <w:rFonts w:cs="Times New Roman"/>
          <w:szCs w:val="24"/>
          <w:lang w:val="fr-CA"/>
        </w:rPr>
        <w:t xml:space="preserve"> (2014), 1, p. 23</w:t>
      </w:r>
      <w:r w:rsidRPr="007B79E3">
        <w:rPr>
          <w:rFonts w:cs="Times New Roman"/>
          <w:szCs w:val="24"/>
          <w:lang w:val="fr-CA"/>
        </w:rPr>
        <w:noBreakHyphen/>
        <w:t>28.</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De surcroît, les perspectives autochtones façonnent le concept même du titre ancestral, dont le contenu peut varier d’un groupe à l’autre. Par conséquent, on ne devrait pas aborder les conflits relatifs à un titre en référant « strictement aux règles inflexibles du droit des biens », mais plutôt en essayant de les comprendre du point de vue des Autochtones : </w:t>
      </w:r>
      <w:r w:rsidRPr="007B79E3">
        <w:rPr>
          <w:rFonts w:cs="Times New Roman"/>
          <w:i/>
          <w:szCs w:val="24"/>
          <w:lang w:val="fr-CA"/>
        </w:rPr>
        <w:t>Bande indienne de</w:t>
      </w:r>
      <w:r w:rsidRPr="007B79E3">
        <w:rPr>
          <w:rFonts w:cs="Times New Roman"/>
          <w:szCs w:val="24"/>
          <w:lang w:val="fr-CA"/>
        </w:rPr>
        <w:t xml:space="preserve"> </w:t>
      </w:r>
      <w:r w:rsidRPr="007B79E3">
        <w:rPr>
          <w:rFonts w:cs="Times New Roman"/>
          <w:i/>
          <w:szCs w:val="24"/>
          <w:lang w:val="fr-CA"/>
        </w:rPr>
        <w:t>St. Mary’s</w:t>
      </w:r>
      <w:r w:rsidRPr="007B79E3">
        <w:rPr>
          <w:rFonts w:cs="Times New Roman"/>
          <w:szCs w:val="24"/>
          <w:lang w:val="fr-CA"/>
        </w:rPr>
        <w:t xml:space="preserve">, par. 15; voir aussi </w:t>
      </w:r>
      <w:r w:rsidRPr="007B79E3">
        <w:rPr>
          <w:rFonts w:cs="Times New Roman"/>
          <w:i/>
          <w:szCs w:val="24"/>
          <w:lang w:val="fr-CA"/>
        </w:rPr>
        <w:t>Delgamuukw</w:t>
      </w:r>
      <w:r w:rsidRPr="007B79E3">
        <w:rPr>
          <w:rFonts w:cs="Times New Roman"/>
          <w:szCs w:val="24"/>
          <w:lang w:val="fr-CA"/>
        </w:rPr>
        <w:t>,</w:t>
      </w:r>
      <w:r w:rsidRPr="007B79E3">
        <w:rPr>
          <w:rFonts w:cs="Times New Roman"/>
          <w:i/>
          <w:szCs w:val="24"/>
          <w:lang w:val="fr-CA"/>
        </w:rPr>
        <w:t xml:space="preserve"> </w:t>
      </w:r>
      <w:r w:rsidRPr="007B79E3">
        <w:rPr>
          <w:rFonts w:cs="Times New Roman"/>
          <w:szCs w:val="24"/>
          <w:lang w:val="fr-CA"/>
        </w:rPr>
        <w:t xml:space="preserve">par. 112; </w:t>
      </w:r>
      <w:r w:rsidRPr="007B79E3">
        <w:rPr>
          <w:rFonts w:cs="Times New Roman"/>
          <w:i/>
          <w:szCs w:val="24"/>
          <w:lang w:val="fr-CA"/>
        </w:rPr>
        <w:t>Marshall</w:t>
      </w:r>
      <w:r w:rsidRPr="007B79E3">
        <w:rPr>
          <w:rFonts w:cs="Times New Roman"/>
          <w:szCs w:val="24"/>
          <w:lang w:val="fr-CA"/>
        </w:rPr>
        <w:t>, par. 129</w:t>
      </w:r>
      <w:r w:rsidRPr="007B79E3">
        <w:rPr>
          <w:rFonts w:cs="Times New Roman"/>
          <w:szCs w:val="24"/>
          <w:lang w:val="fr-CA"/>
        </w:rPr>
        <w:noBreakHyphen/>
        <w:t>130 (motifs concordants du juge LeBel).</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 xml:space="preserve">Dans l’arrêt </w:t>
      </w:r>
      <w:r w:rsidRPr="007B79E3">
        <w:rPr>
          <w:rFonts w:cs="Times New Roman"/>
          <w:i/>
          <w:szCs w:val="24"/>
          <w:lang w:val="fr-CA"/>
        </w:rPr>
        <w:t>Nation Tsilhqot’in</w:t>
      </w:r>
      <w:r w:rsidRPr="007B79E3">
        <w:rPr>
          <w:rFonts w:cs="Times New Roman"/>
          <w:szCs w:val="24"/>
          <w:lang w:val="fr-CA"/>
        </w:rPr>
        <w:t>, la Cour a déclaré ce qui suit :</w:t>
      </w:r>
    </w:p>
    <w:p w:rsidR="00CF3116" w:rsidRPr="007B79E3" w:rsidRDefault="00CF3116" w:rsidP="00CF3116">
      <w:pPr>
        <w:pStyle w:val="Citation-AltC"/>
        <w:tabs>
          <w:tab w:val="left" w:pos="1800"/>
        </w:tabs>
        <w:ind w:left="1168" w:hanging="1168"/>
        <w:contextualSpacing w:val="0"/>
        <w:rPr>
          <w:shd w:val="clear" w:color="auto" w:fill="FFFFFF"/>
          <w:lang w:val="fr-CA"/>
        </w:rPr>
      </w:pPr>
      <w:r w:rsidRPr="007B79E3">
        <w:rPr>
          <w:shd w:val="clear" w:color="auto" w:fill="FFFFFF"/>
          <w:lang w:val="fr-CA"/>
        </w:rPr>
        <w:tab/>
      </w:r>
      <w:r w:rsidRPr="007B79E3">
        <w:rPr>
          <w:shd w:val="clear" w:color="auto" w:fill="FFFFFF"/>
          <w:lang w:val="fr-CA"/>
        </w:rPr>
        <w:tab/>
        <w:t xml:space="preserve">Les caractéristiques du titre ancestral découlent de la relation particulière entre la Couronne et le groupe autochtone en question. </w:t>
      </w:r>
      <w:r w:rsidRPr="007B79E3">
        <w:rPr>
          <w:lang w:val="fr-CA"/>
        </w:rPr>
        <w:t>C’est</w:t>
      </w:r>
      <w:r w:rsidRPr="007B79E3">
        <w:rPr>
          <w:shd w:val="clear" w:color="auto" w:fill="FFFFFF"/>
          <w:lang w:val="fr-CA"/>
        </w:rPr>
        <w:t xml:space="preserve"> cette relation qui rend le titre ancestral </w:t>
      </w:r>
      <w:r w:rsidRPr="007B79E3">
        <w:rPr>
          <w:i/>
          <w:shd w:val="clear" w:color="auto" w:fill="FFFFFF"/>
          <w:lang w:val="fr-CA"/>
        </w:rPr>
        <w:t>sui generis</w:t>
      </w:r>
      <w:r w:rsidRPr="007B79E3">
        <w:rPr>
          <w:shd w:val="clear" w:color="auto" w:fill="FFFFFF"/>
          <w:lang w:val="fr-CA"/>
        </w:rPr>
        <w:t xml:space="preserve">, ou unique. Le titre ancestral est ce qu’il est — le résultat unique de la relation historique entre la Couronne et le groupe autochtone en question. Des analogies avec d’autres formes de propriété — par exemple, la propriété en fief simple — peuvent </w:t>
      </w:r>
      <w:r w:rsidRPr="007B79E3">
        <w:rPr>
          <w:lang w:val="fr-FR"/>
        </w:rPr>
        <w:t>être</w:t>
      </w:r>
      <w:r w:rsidRPr="007B79E3">
        <w:rPr>
          <w:shd w:val="clear" w:color="auto" w:fill="FFFFFF"/>
          <w:lang w:val="fr-CA"/>
        </w:rPr>
        <w:t xml:space="preserve"> utiles pour mieux comprendre certains aspects du titre ancestral. Cependant, elles ne peuvent pas dicter précisément en quoi il consiste ou ne consiste pas. Comme le juge La Forest l’a indiqué dans </w:t>
      </w:r>
      <w:r w:rsidRPr="007B79E3">
        <w:rPr>
          <w:i/>
          <w:shd w:val="clear" w:color="auto" w:fill="FFFFFF"/>
          <w:lang w:val="fr-CA"/>
        </w:rPr>
        <w:t>Delgamuukw</w:t>
      </w:r>
      <w:r w:rsidRPr="007B79E3">
        <w:rPr>
          <w:shd w:val="clear" w:color="auto" w:fill="FFFFFF"/>
          <w:lang w:val="fr-CA"/>
        </w:rPr>
        <w:t>, par. 190, le titre ancestral « n’équivaut pas à la propriété en fief simple et il ne peut pas non plus être décrit au moyen des concepts traditionnels du droit des biens ». [</w:t>
      </w:r>
      <w:proofErr w:type="gramStart"/>
      <w:r w:rsidRPr="007B79E3">
        <w:rPr>
          <w:shd w:val="clear" w:color="auto" w:fill="FFFFFF"/>
          <w:lang w:val="fr-CA"/>
        </w:rPr>
        <w:t>par</w:t>
      </w:r>
      <w:proofErr w:type="gramEnd"/>
      <w:r w:rsidRPr="007B79E3">
        <w:rPr>
          <w:shd w:val="clear" w:color="auto" w:fill="FFFFFF"/>
          <w:lang w:val="fr-CA"/>
        </w:rPr>
        <w:t>. 72]</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La Cour a toutefois reconnu ceci :</w:t>
      </w:r>
    </w:p>
    <w:p w:rsidR="00CF3116" w:rsidRPr="007B79E3" w:rsidRDefault="00CF3116" w:rsidP="00CF3116">
      <w:pPr>
        <w:pStyle w:val="Citation-AltC"/>
        <w:tabs>
          <w:tab w:val="left" w:pos="1800"/>
        </w:tabs>
        <w:ind w:left="1168" w:hanging="1168"/>
        <w:contextualSpacing w:val="0"/>
        <w:rPr>
          <w:lang w:val="fr-CA"/>
        </w:rPr>
      </w:pPr>
      <w:r w:rsidRPr="007B79E3">
        <w:rPr>
          <w:lang w:val="fr-CA"/>
        </w:rPr>
        <w:tab/>
      </w:r>
      <w:r w:rsidRPr="007B79E3">
        <w:rPr>
          <w:lang w:val="fr-CA"/>
        </w:rPr>
        <w:tab/>
        <w:t xml:space="preserve">Le titre ancestral confère des droits de propriété semblables à ceux associés à la propriété en fief simple, y compris le </w:t>
      </w:r>
      <w:r w:rsidRPr="007B79E3">
        <w:rPr>
          <w:shd w:val="clear" w:color="auto" w:fill="FFFFFF"/>
          <w:lang w:val="fr-CA"/>
        </w:rPr>
        <w:t>droit</w:t>
      </w:r>
      <w:r w:rsidRPr="007B79E3">
        <w:rPr>
          <w:lang w:val="fr-CA"/>
        </w:rPr>
        <w:t xml:space="preserve"> de déterminer l’utilisation des </w:t>
      </w:r>
      <w:r w:rsidRPr="007B79E3">
        <w:rPr>
          <w:shd w:val="clear" w:color="auto" w:fill="FFFFFF"/>
          <w:lang w:val="fr-CA"/>
        </w:rPr>
        <w:t>terres</w:t>
      </w:r>
      <w:r w:rsidRPr="007B79E3">
        <w:rPr>
          <w:lang w:val="fr-CA"/>
        </w:rPr>
        <w:t>, le droit de jouissance et d’occupation des terres, le droit de posséder les terres, le droit aux avantages économiques que procurent les terres et le droit d’utiliser et de gérer les terres de manière proactive.</w:t>
      </w:r>
      <w:r>
        <w:rPr>
          <w:lang w:val="fr-CA"/>
        </w:rPr>
        <w:t xml:space="preserve"> </w:t>
      </w:r>
      <w:r w:rsidRPr="007B79E3">
        <w:rPr>
          <w:lang w:val="fr-CA"/>
        </w:rPr>
        <w:t>[</w:t>
      </w:r>
      <w:proofErr w:type="gramStart"/>
      <w:r w:rsidRPr="007B79E3">
        <w:rPr>
          <w:lang w:val="fr-CA"/>
        </w:rPr>
        <w:t>par</w:t>
      </w:r>
      <w:proofErr w:type="gramEnd"/>
      <w:r w:rsidRPr="007B79E3">
        <w:rPr>
          <w:lang w:val="fr-CA"/>
        </w:rPr>
        <w:t>. 73]</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Du point de vue du droit civil, comme il s’agit d’un droit </w:t>
      </w:r>
      <w:r w:rsidRPr="007B79E3">
        <w:rPr>
          <w:rFonts w:cs="Times New Roman"/>
          <w:i/>
          <w:iCs/>
          <w:szCs w:val="24"/>
          <w:lang w:val="fr-CA"/>
        </w:rPr>
        <w:t>sui generis</w:t>
      </w:r>
      <w:r w:rsidRPr="007B79E3">
        <w:rPr>
          <w:rFonts w:cs="Times New Roman"/>
          <w:szCs w:val="24"/>
          <w:lang w:val="fr-CA"/>
        </w:rPr>
        <w:t xml:space="preserve">, on considère à juste titre que le droit ancestral n’est ni un droit personnel, ni un droit réel, ni un mélange des deux, même s’il semble posséder certaines des caractéristiques de ces deux types de droits. Le </w:t>
      </w:r>
      <w:r w:rsidRPr="007B79E3">
        <w:rPr>
          <w:rFonts w:cs="Times New Roman"/>
          <w:iCs/>
          <w:szCs w:val="24"/>
          <w:lang w:val="fr-CA"/>
        </w:rPr>
        <w:t>Centre de recherche en droit privé et comparé du Québec</w:t>
      </w:r>
      <w:r w:rsidRPr="007B79E3">
        <w:rPr>
          <w:rFonts w:cs="Times New Roman"/>
          <w:i/>
          <w:iCs/>
          <w:szCs w:val="24"/>
          <w:lang w:val="fr-CA"/>
        </w:rPr>
        <w:t xml:space="preserve"> </w:t>
      </w:r>
      <w:r w:rsidRPr="007B79E3">
        <w:rPr>
          <w:rFonts w:cs="Times New Roman"/>
          <w:szCs w:val="24"/>
          <w:lang w:val="fr-CA"/>
        </w:rPr>
        <w:t>définit comme suit les droits personnel et réel :</w:t>
      </w:r>
    </w:p>
    <w:p w:rsidR="00CF3116" w:rsidRPr="007B79E3" w:rsidRDefault="00CF3116" w:rsidP="00CF3116">
      <w:pPr>
        <w:pStyle w:val="Citation-AltC"/>
        <w:spacing w:after="240"/>
        <w:ind w:left="1080" w:hanging="1166"/>
        <w:contextualSpacing w:val="0"/>
        <w:rPr>
          <w:b/>
          <w:lang w:val="fr-CA"/>
        </w:rPr>
      </w:pPr>
      <w:r w:rsidRPr="007B79E3">
        <w:rPr>
          <w:b/>
          <w:lang w:val="fr-CA"/>
        </w:rPr>
        <w:tab/>
        <w:t>DROIT PERSONNEL</w:t>
      </w:r>
    </w:p>
    <w:p w:rsidR="00CF3116" w:rsidRPr="007B79E3" w:rsidRDefault="00CF3116" w:rsidP="00CF3116">
      <w:pPr>
        <w:pStyle w:val="Citation-AltC"/>
        <w:tabs>
          <w:tab w:val="left" w:pos="1800"/>
        </w:tabs>
        <w:spacing w:after="240"/>
        <w:ind w:left="1080" w:hanging="1134"/>
        <w:contextualSpacing w:val="0"/>
        <w:rPr>
          <w:lang w:val="fr-CA"/>
        </w:rPr>
      </w:pPr>
      <w:r w:rsidRPr="007B79E3">
        <w:rPr>
          <w:lang w:val="fr-CA"/>
        </w:rPr>
        <w:tab/>
      </w:r>
      <w:r w:rsidRPr="007B79E3">
        <w:rPr>
          <w:lang w:val="fr-CA"/>
        </w:rPr>
        <w:tab/>
        <w:t xml:space="preserve">Droit à caractère patrimonial permettant à son titulaire, le </w:t>
      </w:r>
      <w:r w:rsidRPr="007B79E3">
        <w:rPr>
          <w:i/>
          <w:lang w:val="fr-CA"/>
        </w:rPr>
        <w:t>créancier</w:t>
      </w:r>
      <w:r w:rsidRPr="007B79E3">
        <w:rPr>
          <w:lang w:val="fr-CA"/>
        </w:rPr>
        <w:t xml:space="preserve">, d’exiger d’une autre personne, le </w:t>
      </w:r>
      <w:r w:rsidRPr="007B79E3">
        <w:rPr>
          <w:i/>
          <w:lang w:val="fr-CA"/>
        </w:rPr>
        <w:t>débiteur</w:t>
      </w:r>
      <w:r w:rsidRPr="007B79E3">
        <w:rPr>
          <w:lang w:val="fr-CA"/>
        </w:rPr>
        <w:t>, une prestation.</w:t>
      </w:r>
    </w:p>
    <w:p w:rsidR="00CF3116" w:rsidRPr="007B79E3" w:rsidRDefault="00CF3116" w:rsidP="00CF3116">
      <w:pPr>
        <w:pStyle w:val="Citation-AltC"/>
        <w:tabs>
          <w:tab w:val="left" w:pos="1701"/>
          <w:tab w:val="left" w:pos="4500"/>
        </w:tabs>
        <w:spacing w:after="240"/>
        <w:ind w:left="1134" w:hanging="1134"/>
        <w:contextualSpacing w:val="0"/>
        <w:jc w:val="center"/>
        <w:rPr>
          <w:lang w:val="fr-CA"/>
        </w:rPr>
      </w:pPr>
      <w:r>
        <w:rPr>
          <w:lang w:val="fr-CA"/>
        </w:rPr>
        <w:tab/>
      </w:r>
      <w:r w:rsidRPr="007B79E3">
        <w:rPr>
          <w:lang w:val="fr-CA"/>
        </w:rPr>
        <w:t>. . .</w:t>
      </w:r>
    </w:p>
    <w:p w:rsidR="00CF3116" w:rsidRPr="007B79E3" w:rsidRDefault="00CF3116" w:rsidP="00CF3116">
      <w:pPr>
        <w:pStyle w:val="Citation-AltC"/>
        <w:spacing w:after="240"/>
        <w:ind w:left="1080" w:hanging="1166"/>
        <w:contextualSpacing w:val="0"/>
        <w:rPr>
          <w:b/>
          <w:lang w:val="fr-CA"/>
        </w:rPr>
      </w:pPr>
      <w:r w:rsidRPr="007B79E3">
        <w:rPr>
          <w:b/>
          <w:lang w:val="fr-CA"/>
        </w:rPr>
        <w:tab/>
        <w:t>DROIT RÉEL</w:t>
      </w:r>
    </w:p>
    <w:p w:rsidR="00CF3116" w:rsidRPr="007B79E3" w:rsidRDefault="00CF3116" w:rsidP="00CF3116">
      <w:pPr>
        <w:pStyle w:val="Citation-AltC"/>
        <w:tabs>
          <w:tab w:val="left" w:pos="1800"/>
        </w:tabs>
        <w:spacing w:after="240"/>
        <w:ind w:left="1080" w:hanging="1134"/>
        <w:contextualSpacing w:val="0"/>
        <w:rPr>
          <w:lang w:val="fr-CA"/>
        </w:rPr>
      </w:pPr>
      <w:r w:rsidRPr="007B79E3">
        <w:rPr>
          <w:lang w:val="fr-CA"/>
        </w:rPr>
        <w:lastRenderedPageBreak/>
        <w:tab/>
      </w:r>
      <w:r w:rsidRPr="007B79E3">
        <w:rPr>
          <w:lang w:val="fr-CA"/>
        </w:rPr>
        <w:tab/>
        <w:t>Droit à caractère patrimonial qui est exercé directement sur un bien. [Italique dans l’original; références omises; p. 230 et 254.]</w:t>
      </w:r>
    </w:p>
    <w:p w:rsidR="00CF3116" w:rsidRPr="007B79E3" w:rsidRDefault="00CF3116" w:rsidP="00D1080C">
      <w:pPr>
        <w:pStyle w:val="Citation-AltC"/>
        <w:ind w:left="0"/>
        <w:contextualSpacing w:val="0"/>
        <w:rPr>
          <w:lang w:val="fr-CA"/>
        </w:rPr>
      </w:pPr>
      <w:r w:rsidRPr="007B79E3">
        <w:rPr>
          <w:lang w:val="fr-CA"/>
        </w:rPr>
        <w:t>(</w:t>
      </w:r>
      <w:r w:rsidRPr="007B79E3">
        <w:rPr>
          <w:i/>
          <w:lang w:val="fr-CA"/>
        </w:rPr>
        <w:t>Dictionnaire de droit privé et lexiques bilingues — Les obligations</w:t>
      </w:r>
      <w:r w:rsidRPr="007B79E3">
        <w:rPr>
          <w:lang w:val="fr-CA"/>
        </w:rPr>
        <w:t xml:space="preserve"> (2003)</w:t>
      </w:r>
      <w:r>
        <w:rPr>
          <w:lang w:val="fr-CA"/>
        </w:rPr>
        <w:t>)</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Il ne fait aucun doute que le titre ancestral est fondamentalement associé au territoire. On pourrait donc être tenté de conclure qu’il est purement un droit réel, comme son nom le donne à penser. Or, on méconnaîtrait ainsi le fait que le titre ancestral est aussi solidement ancré dans les relations qui sont le fruit du croisement de l’occupation antérieure et de l’affirmation de la souveraineté par la Couronne : </w:t>
      </w:r>
      <w:r w:rsidRPr="007B79E3">
        <w:rPr>
          <w:rFonts w:cs="Times New Roman"/>
          <w:i/>
          <w:szCs w:val="24"/>
          <w:shd w:val="clear" w:color="auto" w:fill="FFFFFF"/>
          <w:lang w:val="fr-CA"/>
        </w:rPr>
        <w:t xml:space="preserve">Nation </w:t>
      </w:r>
      <w:r w:rsidRPr="007B79E3">
        <w:rPr>
          <w:rFonts w:cs="Times New Roman"/>
          <w:i/>
          <w:szCs w:val="24"/>
          <w:lang w:val="fr-CA"/>
        </w:rPr>
        <w:t>Tsilhqot’in</w:t>
      </w:r>
      <w:r w:rsidRPr="007B79E3">
        <w:rPr>
          <w:rFonts w:cs="Times New Roman"/>
          <w:szCs w:val="24"/>
          <w:shd w:val="clear" w:color="auto" w:fill="FFFFFF"/>
          <w:lang w:val="fr-CA"/>
        </w:rPr>
        <w:t>, par. 72. La souveraineté a conféré à la Couronne un titre sous</w:t>
      </w:r>
      <w:r w:rsidRPr="007B79E3">
        <w:rPr>
          <w:rFonts w:cs="Times New Roman"/>
          <w:szCs w:val="24"/>
          <w:shd w:val="clear" w:color="auto" w:fill="FFFFFF"/>
          <w:lang w:val="fr-CA"/>
        </w:rPr>
        <w:noBreakHyphen/>
        <w:t xml:space="preserve">jacent sur l’ensemble du territoire des provinces, mais le contenu de ce titre a </w:t>
      </w:r>
      <w:r w:rsidRPr="007B79E3">
        <w:rPr>
          <w:rFonts w:cs="Times New Roman"/>
          <w:i/>
          <w:szCs w:val="24"/>
          <w:shd w:val="clear" w:color="auto" w:fill="FFFFFF"/>
          <w:lang w:val="fr-CA"/>
        </w:rPr>
        <w:t>toujours</w:t>
      </w:r>
      <w:r w:rsidRPr="007B79E3">
        <w:rPr>
          <w:rFonts w:cs="Times New Roman"/>
          <w:szCs w:val="24"/>
          <w:shd w:val="clear" w:color="auto" w:fill="FFFFFF"/>
          <w:lang w:val="fr-CA"/>
        </w:rPr>
        <w:t xml:space="preserve"> été grevé des droits préexistants des peuples autochtones qui sont antérieurs à ceux des provinces : par. 69</w:t>
      </w:r>
      <w:r w:rsidRPr="007B79E3">
        <w:rPr>
          <w:rFonts w:cs="Times New Roman"/>
          <w:szCs w:val="24"/>
          <w:shd w:val="clear" w:color="auto" w:fill="FFFFFF"/>
          <w:lang w:val="fr-CA"/>
        </w:rPr>
        <w:noBreakHyphen/>
        <w:t xml:space="preserve">70; </w:t>
      </w:r>
      <w:r w:rsidRPr="007B79E3">
        <w:rPr>
          <w:rFonts w:cs="Times New Roman"/>
          <w:i/>
          <w:szCs w:val="24"/>
          <w:shd w:val="clear" w:color="auto" w:fill="FFFFFF"/>
          <w:lang w:val="fr-CA"/>
        </w:rPr>
        <w:t>Loi constitutionnelle de 1867</w:t>
      </w:r>
      <w:r w:rsidRPr="007B79E3">
        <w:rPr>
          <w:rFonts w:cs="Times New Roman"/>
          <w:szCs w:val="24"/>
          <w:shd w:val="clear" w:color="auto" w:fill="FFFFFF"/>
          <w:lang w:val="fr-CA"/>
        </w:rPr>
        <w:t>, art. 109. C’est la nature de la relation fiduciale découlant de l’interrelation de ces droits, enracinée profondément dans l’histoire de la colonisation, qui donne naissance aux autres obligations liées à l’honneur de la Couronne qui font partie intégrante du titre ancestral. Ces obligations s’apparentent définitivement plus à des droits personnels.</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Toutefois, peu importe les similitudes apparentes, les droits garantis par l’art. 35 ne sont pas simplement un amalgame de droits réels et de droits personnels ayant un lien avec les peuples autochtones. Comme l’expression </w:t>
      </w:r>
      <w:r w:rsidRPr="007B79E3">
        <w:rPr>
          <w:rFonts w:cs="Times New Roman"/>
          <w:i/>
          <w:iCs/>
          <w:szCs w:val="24"/>
          <w:lang w:val="fr-CA"/>
        </w:rPr>
        <w:t>sui generis</w:t>
      </w:r>
      <w:r w:rsidRPr="007B79E3">
        <w:rPr>
          <w:rFonts w:cs="Times New Roman"/>
          <w:szCs w:val="24"/>
          <w:lang w:val="fr-CA"/>
        </w:rPr>
        <w:t xml:space="preserve"> l’indique clairement, les droits protégés par l’art. 35 sont des droits juridiquement distincts qu’il est par ailleurs « impossible de faire entrer dans aucune catégorie reconnue » : Reid, p. 607. Ce ne sont ni des droits réels ni des droits personnels au sens du droit civil, ce sont des droits </w:t>
      </w:r>
      <w:r w:rsidRPr="007B79E3">
        <w:rPr>
          <w:rFonts w:cs="Times New Roman"/>
          <w:i/>
          <w:iCs/>
          <w:szCs w:val="24"/>
          <w:lang w:val="fr-CA"/>
        </w:rPr>
        <w:t>sui generis</w:t>
      </w:r>
      <w:r w:rsidRPr="007B79E3">
        <w:rPr>
          <w:rFonts w:cs="Times New Roman"/>
          <w:szCs w:val="24"/>
          <w:lang w:val="fr-CA"/>
        </w:rPr>
        <w:t xml:space="preserve">. Compte tenu de ce qui précède, les droits garantis par l’art. 35 ne peuvent pas être compartimentés dans une des catégories de biens du droit </w:t>
      </w:r>
      <w:r w:rsidRPr="007B79E3">
        <w:rPr>
          <w:rFonts w:cs="Times New Roman"/>
          <w:szCs w:val="24"/>
          <w:lang w:val="fr-CA"/>
        </w:rPr>
        <w:lastRenderedPageBreak/>
        <w:t>civil, encore moins lorsque la question concerne exclusivement le droit international privé. Les droits ne peuvent pas être caractérisés différemment selon les domaines du droit civil. Une approche fragmentaire, qui suggérerait, par exemple, qu’on pourrait qualifier différemment les droits garantis par l’art. 35 pour l’application du</w:t>
      </w:r>
      <w:r>
        <w:rPr>
          <w:rFonts w:cs="Times New Roman"/>
          <w:szCs w:val="24"/>
          <w:lang w:val="fr-CA"/>
        </w:rPr>
        <w:t xml:space="preserve"> L</w:t>
      </w:r>
      <w:r w:rsidRPr="007B79E3">
        <w:rPr>
          <w:rFonts w:cs="Times New Roman"/>
          <w:szCs w:val="24"/>
          <w:lang w:val="fr-CA"/>
        </w:rPr>
        <w:t xml:space="preserve">ivre quatrième (« Des biens ») du </w:t>
      </w:r>
      <w:r w:rsidRPr="007B79E3">
        <w:rPr>
          <w:rFonts w:cs="Times New Roman"/>
          <w:i/>
          <w:iCs/>
          <w:szCs w:val="24"/>
          <w:lang w:val="fr-CA"/>
        </w:rPr>
        <w:t>Code civil</w:t>
      </w:r>
      <w:r w:rsidRPr="007B79E3">
        <w:rPr>
          <w:rFonts w:cs="Times New Roman"/>
          <w:szCs w:val="24"/>
          <w:lang w:val="fr-CA"/>
        </w:rPr>
        <w:t xml:space="preserve">, serait, à notre avis, </w:t>
      </w:r>
      <w:r>
        <w:rPr>
          <w:rFonts w:cs="Times New Roman"/>
          <w:szCs w:val="24"/>
          <w:lang w:val="fr-CA"/>
        </w:rPr>
        <w:t>inacceptable.</w:t>
      </w:r>
    </w:p>
    <w:p w:rsidR="00CF3116" w:rsidRPr="007B79E3" w:rsidRDefault="00CF3116" w:rsidP="00CF3116">
      <w:pPr>
        <w:pStyle w:val="Title2LevelTitre2Niveau"/>
        <w:numPr>
          <w:ilvl w:val="1"/>
          <w:numId w:val="8"/>
        </w:numPr>
        <w:spacing w:before="0"/>
        <w:jc w:val="both"/>
        <w:rPr>
          <w:rFonts w:cs="Times New Roman"/>
          <w:lang w:val="fr-CA"/>
        </w:rPr>
      </w:pPr>
      <w:r w:rsidRPr="007B79E3">
        <w:rPr>
          <w:rFonts w:cs="Times New Roman"/>
          <w:lang w:val="fr-CA"/>
        </w:rPr>
        <w:t>La nature de la réparation demandée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Ayant examiné la nature des droits garantis par l’art. 35, nous passons maintenant à l’analyse des conclusions recherchées par la demande.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Les Innus sollicitent des dommages</w:t>
      </w:r>
      <w:r w:rsidRPr="007B79E3">
        <w:rPr>
          <w:rFonts w:cs="Times New Roman"/>
          <w:szCs w:val="24"/>
          <w:lang w:val="fr-CA"/>
        </w:rPr>
        <w:noBreakHyphen/>
        <w:t xml:space="preserve">intérêts compensatoires et une injonction, alléguant que les </w:t>
      </w:r>
      <w:r>
        <w:rPr>
          <w:rFonts w:cs="Times New Roman"/>
          <w:szCs w:val="24"/>
          <w:lang w:val="fr-CA"/>
        </w:rPr>
        <w:t>compagnies</w:t>
      </w:r>
      <w:r w:rsidRPr="007B79E3">
        <w:rPr>
          <w:rFonts w:cs="Times New Roman"/>
          <w:szCs w:val="24"/>
          <w:lang w:val="fr-CA"/>
        </w:rPr>
        <w:t xml:space="preserve"> minières sont responsables, en application </w:t>
      </w:r>
      <w:proofErr w:type="gramStart"/>
      <w:r w:rsidRPr="007B79E3">
        <w:rPr>
          <w:rFonts w:cs="Times New Roman"/>
          <w:szCs w:val="24"/>
          <w:lang w:val="fr-CA"/>
        </w:rPr>
        <w:t>des art</w:t>
      </w:r>
      <w:proofErr w:type="gramEnd"/>
      <w:r w:rsidRPr="007B79E3">
        <w:rPr>
          <w:rFonts w:cs="Times New Roman"/>
          <w:szCs w:val="24"/>
          <w:lang w:val="fr-CA"/>
        </w:rPr>
        <w:t xml:space="preserve">. 976 (responsabilité sans faute pour troubles de voisinage) et 1457 (responsabilité pour faute) du </w:t>
      </w:r>
      <w:r w:rsidRPr="007B79E3">
        <w:rPr>
          <w:rFonts w:cs="Times New Roman"/>
          <w:i/>
          <w:szCs w:val="24"/>
          <w:lang w:val="fr-CA"/>
        </w:rPr>
        <w:t>C.c.Q.</w:t>
      </w:r>
      <w:r w:rsidRPr="007B79E3">
        <w:rPr>
          <w:rFonts w:cs="Times New Roman"/>
          <w:szCs w:val="24"/>
          <w:lang w:val="fr-CA"/>
        </w:rPr>
        <w:t xml:space="preserve"> d’avoir porté atteinte à leurs droits garantis par l’art. 35.</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L’analyse de ces deux régimes de responsabilité réalisée dans l’arrêt de principe </w:t>
      </w:r>
      <w:r w:rsidRPr="007B79E3">
        <w:rPr>
          <w:rFonts w:cs="Times New Roman"/>
          <w:i/>
          <w:szCs w:val="24"/>
          <w:lang w:val="fr-CA"/>
        </w:rPr>
        <w:t>Ciment du Saint</w:t>
      </w:r>
      <w:r w:rsidRPr="007B79E3">
        <w:rPr>
          <w:rFonts w:cs="Times New Roman"/>
          <w:i/>
          <w:szCs w:val="24"/>
          <w:lang w:val="fr-CA"/>
        </w:rPr>
        <w:noBreakHyphen/>
        <w:t>Laurent inc. c. Barrette</w:t>
      </w:r>
      <w:r w:rsidRPr="007B79E3">
        <w:rPr>
          <w:rFonts w:cs="Times New Roman"/>
          <w:szCs w:val="24"/>
          <w:lang w:val="fr-CA"/>
        </w:rPr>
        <w:t xml:space="preserve">, 2008 CSC 64, [2008] 3 R.C.S. 392, est utile. Dans cette cause, les résidents d’un quartier de la ville de Québec avaient intenté un recours collectif contre une cimenterie, alléguant des troubles de voisinage causés par la poussière et le bruit. Les membres du recours collectif ont invoqué </w:t>
      </w:r>
      <w:proofErr w:type="gramStart"/>
      <w:r w:rsidRPr="007B79E3">
        <w:rPr>
          <w:rFonts w:cs="Times New Roman"/>
          <w:szCs w:val="24"/>
          <w:lang w:val="fr-CA"/>
        </w:rPr>
        <w:t>les art</w:t>
      </w:r>
      <w:proofErr w:type="gramEnd"/>
      <w:r w:rsidRPr="007B79E3">
        <w:rPr>
          <w:rFonts w:cs="Times New Roman"/>
          <w:szCs w:val="24"/>
          <w:lang w:val="fr-CA"/>
        </w:rPr>
        <w:t xml:space="preserve">. 976 et 1457. Les juges LeBel et Deschamps, s’exprimant au nom de la Cour, ont indiqué que, même lorsqu’il est question de territoire, l’art. 1457 donne naissance à une réparation de nature compensatoire qui découle du défaut du présumé auteur de l’acte répréhensible d’adopter le comportement d’une personne raisonnable : </w:t>
      </w:r>
      <w:r w:rsidRPr="007B79E3">
        <w:rPr>
          <w:rFonts w:cs="Times New Roman"/>
          <w:szCs w:val="24"/>
          <w:lang w:val="fr-CA"/>
        </w:rPr>
        <w:lastRenderedPageBreak/>
        <w:t>par. 21</w:t>
      </w:r>
      <w:r w:rsidRPr="007B79E3">
        <w:rPr>
          <w:rFonts w:cs="Times New Roman"/>
          <w:szCs w:val="24"/>
          <w:lang w:val="fr-CA"/>
        </w:rPr>
        <w:noBreakHyphen/>
        <w:t xml:space="preserve">22. Ils ont explicitement rejeté la proposition selon laquelle les actions fondées sur l’art. 976 du </w:t>
      </w:r>
      <w:r w:rsidRPr="007B79E3">
        <w:rPr>
          <w:rFonts w:cs="Times New Roman"/>
          <w:i/>
          <w:szCs w:val="24"/>
          <w:lang w:val="fr-CA"/>
        </w:rPr>
        <w:t>C.c.Q.</w:t>
      </w:r>
      <w:r w:rsidRPr="007B79E3">
        <w:rPr>
          <w:rFonts w:cs="Times New Roman"/>
          <w:szCs w:val="24"/>
          <w:lang w:val="fr-CA"/>
        </w:rPr>
        <w:t xml:space="preserve"> concernant des inconvénients anormaux de voisinage sont des « </w:t>
      </w:r>
      <w:proofErr w:type="gramStart"/>
      <w:r w:rsidRPr="007B79E3">
        <w:rPr>
          <w:rFonts w:cs="Times New Roman"/>
          <w:szCs w:val="24"/>
          <w:lang w:val="fr-CA"/>
        </w:rPr>
        <w:t>action[s] réelle[s</w:t>
      </w:r>
      <w:proofErr w:type="gramEnd"/>
      <w:r w:rsidRPr="007B79E3">
        <w:rPr>
          <w:rFonts w:cs="Times New Roman"/>
          <w:szCs w:val="24"/>
          <w:lang w:val="fr-CA"/>
        </w:rPr>
        <w:t xml:space="preserve">] » : par. 81. Ils ont plutôt déclaré que « le recours fondé sur l’art. 976 </w:t>
      </w:r>
      <w:r w:rsidRPr="007B79E3">
        <w:rPr>
          <w:rFonts w:cs="Times New Roman"/>
          <w:i/>
          <w:szCs w:val="24"/>
          <w:lang w:val="fr-CA"/>
        </w:rPr>
        <w:t>C.c.Q.</w:t>
      </w:r>
      <w:r w:rsidRPr="007B79E3">
        <w:rPr>
          <w:rFonts w:cs="Times New Roman"/>
          <w:szCs w:val="24"/>
          <w:lang w:val="fr-CA"/>
        </w:rPr>
        <w:t xml:space="preserve"> reste avant tout un droit de créance appartenant à une personne (et non à un fonds) et opposable à une autre » :</w:t>
      </w:r>
      <w:r w:rsidRPr="007B79E3">
        <w:rPr>
          <w:rFonts w:cs="Times New Roman"/>
          <w:i/>
          <w:szCs w:val="24"/>
          <w:lang w:val="fr-CA"/>
        </w:rPr>
        <w:t xml:space="preserve"> </w:t>
      </w:r>
      <w:r w:rsidRPr="007B79E3">
        <w:rPr>
          <w:rFonts w:cs="Times New Roman"/>
          <w:szCs w:val="24"/>
          <w:lang w:val="fr-CA"/>
        </w:rPr>
        <w:t xml:space="preserve">par. 82. Étant donné la nature des réparations demandées en application </w:t>
      </w:r>
      <w:proofErr w:type="gramStart"/>
      <w:r w:rsidRPr="007B79E3">
        <w:rPr>
          <w:rFonts w:cs="Times New Roman"/>
          <w:szCs w:val="24"/>
          <w:lang w:val="fr-CA"/>
        </w:rPr>
        <w:t>des art</w:t>
      </w:r>
      <w:proofErr w:type="gramEnd"/>
      <w:r w:rsidRPr="007B79E3">
        <w:rPr>
          <w:rFonts w:cs="Times New Roman"/>
          <w:szCs w:val="24"/>
          <w:lang w:val="fr-CA"/>
        </w:rPr>
        <w:t xml:space="preserve">. 976 et 1457 du </w:t>
      </w:r>
      <w:r w:rsidRPr="007B79E3">
        <w:rPr>
          <w:rFonts w:cs="Times New Roman"/>
          <w:i/>
          <w:szCs w:val="24"/>
          <w:lang w:val="fr-CA"/>
        </w:rPr>
        <w:t>C.c.Q.</w:t>
      </w:r>
      <w:r w:rsidRPr="007B79E3">
        <w:rPr>
          <w:rFonts w:cs="Times New Roman"/>
          <w:szCs w:val="24"/>
          <w:lang w:val="fr-CA"/>
        </w:rPr>
        <w:t xml:space="preserve">, il est incontesté que les autorités québécoises auraient normalement compétence pour connaître des actions intentées contre les </w:t>
      </w:r>
      <w:r>
        <w:rPr>
          <w:rFonts w:cs="Times New Roman"/>
          <w:szCs w:val="24"/>
          <w:lang w:val="fr-CA"/>
        </w:rPr>
        <w:t>compagnies</w:t>
      </w:r>
      <w:r w:rsidRPr="007B79E3">
        <w:rPr>
          <w:rFonts w:cs="Times New Roman"/>
          <w:szCs w:val="24"/>
          <w:lang w:val="fr-CA"/>
        </w:rPr>
        <w:t xml:space="preserve"> minières, parce qu’elles ont un domicile au Québec.</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Cela dit, s’ils veulent obtenir gain de cause, les Innus doivent prouver qu’ils ont une certaine relation avec le territoire et que celle</w:t>
      </w:r>
      <w:r w:rsidRPr="007B79E3">
        <w:rPr>
          <w:rFonts w:cs="Times New Roman"/>
          <w:szCs w:val="24"/>
          <w:lang w:val="fr-CA"/>
        </w:rPr>
        <w:noBreakHyphen/>
        <w:t xml:space="preserve">ci fait intervenir soit la responsabilité délictuelle des </w:t>
      </w:r>
      <w:r>
        <w:rPr>
          <w:rFonts w:cs="Times New Roman"/>
          <w:szCs w:val="24"/>
          <w:lang w:val="fr-CA"/>
        </w:rPr>
        <w:t>compagnies</w:t>
      </w:r>
      <w:r w:rsidRPr="007B79E3">
        <w:rPr>
          <w:rFonts w:cs="Times New Roman"/>
          <w:szCs w:val="24"/>
          <w:lang w:val="fr-CA"/>
        </w:rPr>
        <w:t xml:space="preserve"> minières soit leur responsabilité fondée sur les inconvénients du voisinage. Ils sollicitent </w:t>
      </w:r>
      <w:r w:rsidRPr="007B79E3">
        <w:rPr>
          <w:rFonts w:cs="Times New Roman"/>
          <w:i/>
          <w:szCs w:val="24"/>
          <w:lang w:val="fr-CA"/>
        </w:rPr>
        <w:t>aussi</w:t>
      </w:r>
      <w:r w:rsidRPr="007B79E3">
        <w:rPr>
          <w:rFonts w:cs="Times New Roman"/>
          <w:szCs w:val="24"/>
          <w:lang w:val="fr-CA"/>
        </w:rPr>
        <w:t xml:space="preserve"> un jugement déclaratoire portant qu’ils détiennent un titre et des droits ancestraux non éteints à l’égard des secteurs du Nitassinan touchés par le mégaprojet d’IOC. C’est cette réparation qui est au cœur des objections de la Couronne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En droit civil québécois, le jugement déclaratoire est généralement non coercitif et ne porte que sur l’existence de droits ou d’obligations : D. Grenier et M. Paré, </w:t>
      </w:r>
      <w:r w:rsidRPr="007B79E3">
        <w:rPr>
          <w:rFonts w:cs="Times New Roman"/>
          <w:i/>
          <w:szCs w:val="24"/>
          <w:lang w:val="fr-CA"/>
        </w:rPr>
        <w:t>La requête en jugement déclaratoire en droit public québécois</w:t>
      </w:r>
      <w:r w:rsidRPr="007B79E3">
        <w:rPr>
          <w:rFonts w:cs="Times New Roman"/>
          <w:szCs w:val="24"/>
          <w:lang w:val="fr-CA"/>
        </w:rPr>
        <w:t xml:space="preserve"> (2</w:t>
      </w:r>
      <w:r w:rsidRPr="007B79E3">
        <w:rPr>
          <w:rFonts w:cs="Times New Roman"/>
          <w:szCs w:val="24"/>
          <w:vertAlign w:val="superscript"/>
          <w:lang w:val="fr-CA"/>
        </w:rPr>
        <w:t>e</w:t>
      </w:r>
      <w:r w:rsidRPr="007B79E3">
        <w:rPr>
          <w:rFonts w:cs="Times New Roman"/>
          <w:szCs w:val="24"/>
          <w:lang w:val="fr-CA"/>
        </w:rPr>
        <w:t xml:space="preserve"> éd. 1999), p. 1. La requête en jugement déclaratoire s’applique aux droits réels et peut être accompagnée d’une demande de réparation pécuniaire ou d’injonction : J.</w:t>
      </w:r>
      <w:r w:rsidRPr="007B79E3">
        <w:rPr>
          <w:rFonts w:cs="Times New Roman"/>
          <w:szCs w:val="24"/>
          <w:lang w:val="fr-CA"/>
        </w:rPr>
        <w:noBreakHyphen/>
        <w:t>C.</w:t>
      </w:r>
      <w:r w:rsidRPr="007B79E3">
        <w:rPr>
          <w:rFonts w:cs="Times New Roman"/>
          <w:lang w:val="fr-CA"/>
        </w:rPr>
        <w:t> </w:t>
      </w:r>
      <w:r w:rsidRPr="007B79E3">
        <w:rPr>
          <w:rFonts w:cs="Times New Roman"/>
          <w:szCs w:val="24"/>
          <w:lang w:val="fr-CA"/>
        </w:rPr>
        <w:t>Thivierge, « La requête en jugement déclaratoire en droit immobilier », dans Ser</w:t>
      </w:r>
      <w:r>
        <w:rPr>
          <w:rFonts w:cs="Times New Roman"/>
          <w:szCs w:val="24"/>
          <w:lang w:val="fr-CA"/>
        </w:rPr>
        <w:t xml:space="preserve">vice de la formation permanente </w:t>
      </w:r>
      <w:r w:rsidRPr="007B79E3">
        <w:rPr>
          <w:rFonts w:cs="Times New Roman"/>
          <w:szCs w:val="24"/>
          <w:lang w:val="fr-CA"/>
        </w:rPr>
        <w:t>—</w:t>
      </w:r>
      <w:r>
        <w:rPr>
          <w:rFonts w:cs="Times New Roman"/>
          <w:szCs w:val="24"/>
          <w:lang w:val="fr-CA"/>
        </w:rPr>
        <w:t xml:space="preserve"> </w:t>
      </w:r>
      <w:r w:rsidRPr="007B79E3">
        <w:rPr>
          <w:rFonts w:cs="Times New Roman"/>
          <w:szCs w:val="24"/>
          <w:lang w:val="fr-CA"/>
        </w:rPr>
        <w:t xml:space="preserve">Barreau du Québec, vol. 103, </w:t>
      </w:r>
      <w:r w:rsidRPr="007B79E3">
        <w:rPr>
          <w:rFonts w:cs="Times New Roman"/>
          <w:i/>
          <w:szCs w:val="24"/>
          <w:lang w:val="fr-CA"/>
        </w:rPr>
        <w:t xml:space="preserve">Développements </w:t>
      </w:r>
      <w:r w:rsidRPr="007B79E3">
        <w:rPr>
          <w:rFonts w:cs="Times New Roman"/>
          <w:i/>
          <w:szCs w:val="24"/>
          <w:lang w:val="fr-CA"/>
        </w:rPr>
        <w:lastRenderedPageBreak/>
        <w:t>récents en droit immobilier</w:t>
      </w:r>
      <w:r w:rsidRPr="007B79E3">
        <w:rPr>
          <w:rFonts w:cs="Times New Roman"/>
          <w:szCs w:val="24"/>
          <w:lang w:val="fr-CA"/>
        </w:rPr>
        <w:t xml:space="preserve"> (1998), p. 37; M. Paré, </w:t>
      </w:r>
      <w:r w:rsidRPr="007B79E3">
        <w:rPr>
          <w:rFonts w:cs="Times New Roman"/>
          <w:i/>
          <w:szCs w:val="24"/>
          <w:lang w:val="fr-CA"/>
        </w:rPr>
        <w:t>La requête en jugement déclaratoire</w:t>
      </w:r>
      <w:r w:rsidRPr="007B79E3">
        <w:rPr>
          <w:rFonts w:cs="Times New Roman"/>
          <w:szCs w:val="24"/>
          <w:lang w:val="fr-CA"/>
        </w:rPr>
        <w:t xml:space="preserve"> (2001). La Cour d’appel du Québec a récemment réitéré les quatre critères auxquels il faut qu’il soit satisfait pour qu’une cour prononce un jugement déclaratoire : </w:t>
      </w:r>
      <w:r w:rsidR="00F75574">
        <w:rPr>
          <w:rFonts w:cs="Times New Roman"/>
          <w:szCs w:val="24"/>
          <w:lang w:val="fr-CA"/>
        </w:rPr>
        <w:t>(</w:t>
      </w:r>
      <w:r w:rsidRPr="007B79E3">
        <w:rPr>
          <w:rFonts w:cs="Times New Roman"/>
          <w:szCs w:val="24"/>
          <w:lang w:val="fr-CA"/>
        </w:rPr>
        <w:t xml:space="preserve">1) il existe une difficulté réelle; </w:t>
      </w:r>
      <w:r w:rsidR="00F75574">
        <w:rPr>
          <w:rFonts w:cs="Times New Roman"/>
          <w:szCs w:val="24"/>
          <w:lang w:val="fr-CA"/>
        </w:rPr>
        <w:t>(</w:t>
      </w:r>
      <w:r w:rsidRPr="007B79E3">
        <w:rPr>
          <w:rFonts w:cs="Times New Roman"/>
          <w:szCs w:val="24"/>
          <w:lang w:val="fr-CA"/>
        </w:rPr>
        <w:t xml:space="preserve">2) le demandeur a un intérêt direct et actuel se rattachant à la difficulté réelle; </w:t>
      </w:r>
      <w:r w:rsidR="00F75574">
        <w:rPr>
          <w:rFonts w:cs="Times New Roman"/>
          <w:szCs w:val="24"/>
          <w:lang w:val="fr-CA"/>
        </w:rPr>
        <w:t>(</w:t>
      </w:r>
      <w:r w:rsidRPr="007B79E3">
        <w:rPr>
          <w:rFonts w:cs="Times New Roman"/>
          <w:szCs w:val="24"/>
          <w:lang w:val="fr-CA"/>
        </w:rPr>
        <w:t>3)</w:t>
      </w:r>
      <w:r>
        <w:rPr>
          <w:rFonts w:cs="Times New Roman"/>
          <w:szCs w:val="24"/>
          <w:lang w:val="fr-CA"/>
        </w:rPr>
        <w:t xml:space="preserve"> la source de la difficulté est identifiée comme un écrit ou une loi</w:t>
      </w:r>
      <w:r w:rsidRPr="007B79E3">
        <w:rPr>
          <w:rFonts w:cs="Times New Roman"/>
          <w:szCs w:val="24"/>
          <w:lang w:val="fr-CA"/>
        </w:rPr>
        <w:t xml:space="preserve">; </w:t>
      </w:r>
      <w:r w:rsidR="00F75574">
        <w:rPr>
          <w:rFonts w:cs="Times New Roman"/>
          <w:szCs w:val="24"/>
          <w:lang w:val="fr-CA"/>
        </w:rPr>
        <w:t>(</w:t>
      </w:r>
      <w:r w:rsidRPr="007B79E3">
        <w:rPr>
          <w:rFonts w:cs="Times New Roman"/>
          <w:szCs w:val="24"/>
          <w:lang w:val="fr-CA"/>
        </w:rPr>
        <w:t>4)</w:t>
      </w:r>
      <w:r>
        <w:rPr>
          <w:rFonts w:cs="Times New Roman"/>
          <w:szCs w:val="24"/>
          <w:lang w:val="fr-CA"/>
        </w:rPr>
        <w:t xml:space="preserve"> l’objectif du demandeur, pour résoudre cette difficulté, est de faire déterminer un droit, un pouvoir ou une obligation </w:t>
      </w:r>
      <w:r w:rsidRPr="007B79E3">
        <w:rPr>
          <w:rFonts w:cs="Times New Roman"/>
          <w:szCs w:val="24"/>
          <w:lang w:val="fr-CA"/>
        </w:rPr>
        <w:t xml:space="preserve">: </w:t>
      </w:r>
      <w:r w:rsidRPr="007B79E3">
        <w:rPr>
          <w:rFonts w:cs="Times New Roman"/>
          <w:i/>
          <w:szCs w:val="24"/>
          <w:lang w:val="fr-CA"/>
        </w:rPr>
        <w:t>Comité paritaire de l’entretien d’édifices publics de la région de Québec c. Hôtel Forestel Val</w:t>
      </w:r>
      <w:r w:rsidRPr="007B79E3">
        <w:rPr>
          <w:rFonts w:cs="Times New Roman"/>
          <w:i/>
          <w:szCs w:val="24"/>
          <w:lang w:val="fr-CA"/>
        </w:rPr>
        <w:noBreakHyphen/>
        <w:t>d’Or inc</w:t>
      </w:r>
      <w:r w:rsidRPr="007B79E3">
        <w:rPr>
          <w:rFonts w:cs="Times New Roman"/>
          <w:szCs w:val="24"/>
          <w:lang w:val="fr-CA"/>
        </w:rPr>
        <w:t>., 2017 QCCA 250, par. 34 (CanLII).</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Un jugement déclaratoire est une réparation d’une portée restreinte qui peut être obtenue sans avoir à réclamer de réparation en conséquence. Il n’est toutefois rendu que s’il a une utilité pratique : </w:t>
      </w:r>
      <w:r w:rsidRPr="007B79E3">
        <w:rPr>
          <w:rFonts w:cs="Times New Roman"/>
          <w:i/>
          <w:szCs w:val="24"/>
          <w:lang w:val="fr-CA"/>
        </w:rPr>
        <w:t>Manitoba Metis Federation Inc.</w:t>
      </w:r>
      <w:r w:rsidRPr="007B79E3">
        <w:rPr>
          <w:rFonts w:cs="Times New Roman"/>
          <w:szCs w:val="24"/>
          <w:lang w:val="fr-CA"/>
        </w:rPr>
        <w:t xml:space="preserve">, par. 143; </w:t>
      </w:r>
      <w:r w:rsidRPr="007B79E3">
        <w:rPr>
          <w:rFonts w:cs="Times New Roman"/>
          <w:i/>
          <w:szCs w:val="24"/>
          <w:lang w:val="fr-CA"/>
        </w:rPr>
        <w:t>Daniels c. Canada (Affaires indiennes et du Nord canadien)</w:t>
      </w:r>
      <w:r w:rsidRPr="007B79E3">
        <w:rPr>
          <w:rFonts w:cs="Times New Roman"/>
          <w:szCs w:val="24"/>
          <w:lang w:val="fr-CA"/>
        </w:rPr>
        <w:t>, 2016 CSC 12, [2016] 1 R.C.S. 99, par. 11. L’équité exige que les parties touchées par le jugement déclaratoire soient entendues. Les tribunaux peuvent néanmoins rendre des jugements déclaratoires qui s’appliquent à des justiciables domiciliés dans d’autres</w:t>
      </w:r>
      <w:r>
        <w:rPr>
          <w:rFonts w:cs="Times New Roman"/>
          <w:szCs w:val="24"/>
          <w:lang w:val="fr-CA"/>
        </w:rPr>
        <w:t xml:space="preserve"> ressorts</w:t>
      </w:r>
      <w:r w:rsidRPr="007B79E3">
        <w:rPr>
          <w:rFonts w:cs="Times New Roman"/>
          <w:szCs w:val="24"/>
          <w:lang w:val="fr-CA"/>
        </w:rPr>
        <w:t xml:space="preserve">; tout problème d’extraterritorialité se règle conformément à la doctrine du </w:t>
      </w:r>
      <w:r w:rsidRPr="007B79E3">
        <w:rPr>
          <w:rFonts w:cs="Times New Roman"/>
          <w:i/>
          <w:szCs w:val="24"/>
          <w:lang w:val="fr-CA"/>
        </w:rPr>
        <w:t>forum non conveniens</w:t>
      </w:r>
      <w:r w:rsidRPr="007B79E3">
        <w:rPr>
          <w:rFonts w:cs="Times New Roman"/>
          <w:szCs w:val="24"/>
          <w:lang w:val="fr-CA"/>
        </w:rPr>
        <w:t xml:space="preserve"> : L. Sarna, </w:t>
      </w:r>
      <w:r w:rsidRPr="007B79E3">
        <w:rPr>
          <w:rFonts w:cs="Times New Roman"/>
          <w:i/>
          <w:szCs w:val="24"/>
          <w:lang w:val="fr-CA"/>
        </w:rPr>
        <w:t>The Law of Declaratory Judgments</w:t>
      </w:r>
      <w:r w:rsidRPr="007B79E3">
        <w:rPr>
          <w:rFonts w:cs="Times New Roman"/>
          <w:szCs w:val="24"/>
          <w:lang w:val="fr-CA"/>
        </w:rPr>
        <w:t xml:space="preserve"> (4</w:t>
      </w:r>
      <w:r w:rsidRPr="007B79E3">
        <w:rPr>
          <w:rFonts w:cs="Times New Roman"/>
          <w:szCs w:val="24"/>
          <w:vertAlign w:val="superscript"/>
          <w:lang w:val="fr-CA"/>
        </w:rPr>
        <w:t>e</w:t>
      </w:r>
      <w:r w:rsidRPr="007B79E3">
        <w:rPr>
          <w:rFonts w:cs="Times New Roman"/>
          <w:szCs w:val="24"/>
          <w:lang w:val="fr-CA"/>
        </w:rPr>
        <w:t xml:space="preserve"> éd. 2016), p. 91.</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Il est toutefois important de noter qu’aucun des jugements antérieurs en l’espèce n’a tranché la question de savoir si le jugement déclaratoire demandé serait rendu ou devait l’être. Nous ne devrions pas le faire non plus. Il s’agit d’une décision discrétionnaire qui appartiendra au tribunal saisi du fond de l’affaire. La question qui se pose en l’espèce ne concerne que la compétence des tribunaux québécois pour se </w:t>
      </w:r>
      <w:r w:rsidRPr="007B79E3">
        <w:rPr>
          <w:rFonts w:cs="Times New Roman"/>
          <w:szCs w:val="24"/>
          <w:lang w:val="fr-CA"/>
        </w:rPr>
        <w:lastRenderedPageBreak/>
        <w:t xml:space="preserve">prononcer, une question qui, comme nous l’avons déjà expliqué, sera tranchée en examinant la nature des droits allégués et les conclusions demandées en fonction des règles établies </w:t>
      </w:r>
      <w:r>
        <w:rPr>
          <w:rFonts w:cs="Times New Roman"/>
          <w:szCs w:val="24"/>
          <w:lang w:val="fr-CA"/>
        </w:rPr>
        <w:t>au L</w:t>
      </w:r>
      <w:r w:rsidRPr="007B79E3">
        <w:rPr>
          <w:rFonts w:cs="Times New Roman"/>
          <w:szCs w:val="24"/>
          <w:lang w:val="fr-CA"/>
        </w:rPr>
        <w:t xml:space="preserve">ivre dixième du </w:t>
      </w:r>
      <w:r w:rsidRPr="007B79E3">
        <w:rPr>
          <w:rFonts w:cs="Times New Roman"/>
          <w:i/>
          <w:iCs/>
          <w:szCs w:val="24"/>
          <w:lang w:val="fr-CA"/>
        </w:rPr>
        <w:t>Code civil</w:t>
      </w:r>
      <w:r w:rsidRPr="007B79E3">
        <w:rPr>
          <w:rFonts w:cs="Times New Roman"/>
          <w:iCs/>
          <w:szCs w:val="24"/>
          <w:lang w:val="fr-CA"/>
        </w:rPr>
        <w:t>.</w:t>
      </w:r>
      <w:r w:rsidRPr="007B79E3">
        <w:rPr>
          <w:rFonts w:cs="Times New Roman"/>
          <w:szCs w:val="24"/>
          <w:lang w:val="fr-CA"/>
        </w:rPr>
        <w:t xml:space="preserve"> Avant de passer à cette analyse, examinons l’enjeu de l’accès à la justice.</w:t>
      </w:r>
    </w:p>
    <w:p w:rsidR="00CF3116" w:rsidRPr="007B79E3" w:rsidRDefault="00CF3116" w:rsidP="00CF3116">
      <w:pPr>
        <w:pStyle w:val="Title2LevelTitre2Niveau"/>
        <w:numPr>
          <w:ilvl w:val="1"/>
          <w:numId w:val="8"/>
        </w:numPr>
        <w:spacing w:before="0"/>
        <w:jc w:val="both"/>
        <w:rPr>
          <w:rFonts w:cs="Times New Roman"/>
          <w:lang w:val="fr-CA"/>
        </w:rPr>
      </w:pPr>
      <w:r w:rsidRPr="007B79E3">
        <w:rPr>
          <w:rFonts w:cs="Times New Roman"/>
          <w:lang w:val="fr-CA"/>
        </w:rPr>
        <w:t>L’accès à la justice</w:t>
      </w:r>
    </w:p>
    <w:p w:rsidR="00CF3116" w:rsidRPr="007B79E3" w:rsidRDefault="00CF3116" w:rsidP="00CF3116">
      <w:pPr>
        <w:pStyle w:val="ParaNoNdepar-AltN"/>
        <w:widowControl w:val="0"/>
        <w:tabs>
          <w:tab w:val="clear" w:pos="1152"/>
          <w:tab w:val="num" w:pos="1170"/>
        </w:tabs>
        <w:spacing w:before="0"/>
        <w:ind w:left="86"/>
        <w:rPr>
          <w:rFonts w:cs="Times New Roman"/>
          <w:szCs w:val="24"/>
          <w:lang w:val="fr-CA"/>
        </w:rPr>
      </w:pPr>
      <w:r w:rsidRPr="007B79E3">
        <w:rPr>
          <w:rFonts w:cs="Times New Roman"/>
          <w:szCs w:val="24"/>
          <w:lang w:val="fr-CA"/>
        </w:rPr>
        <w:t>Le juge des requêtes a posé la question suivante : « [p]</w:t>
      </w:r>
      <w:r w:rsidRPr="007B79E3">
        <w:rPr>
          <w:rFonts w:cs="Times New Roman"/>
          <w:szCs w:val="24"/>
          <w:lang w:val="fr-FR"/>
        </w:rPr>
        <w:t>eut</w:t>
      </w:r>
      <w:r w:rsidRPr="007B79E3">
        <w:rPr>
          <w:rFonts w:cs="Times New Roman"/>
          <w:szCs w:val="24"/>
          <w:lang w:val="fr-FR"/>
        </w:rPr>
        <w:noBreakHyphen/>
        <w:t>on dire qu’il est dans l’intérêt de la justice qu’essentiellement le même débat ait lieu devant deux juridictions qui doivent toutes les deux appliquer la même loi, et ce, quand les tribunaux qui entendront les causes sont tous les deux de nomination fédérale?</w:t>
      </w:r>
      <w:r w:rsidRPr="007B79E3">
        <w:rPr>
          <w:rFonts w:cs="Times New Roman"/>
          <w:szCs w:val="24"/>
          <w:lang w:val="fr-CA"/>
        </w:rPr>
        <w:t> » : par. 107. En l’espèce, il faut répondre à cette question par la négative.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Il a été suggéré que l’approche choisie par les Innus est problématique et pourrait ne pas faciliter l’accès à la justice. Or, nous sommes d’avis qu’il n’appartient pas à la Cour de remettre en question le choix stratégique d’une partie d’intenter son recours dans une juridiction plutôt que dans une autre. Les Innus ont fait valoir que le fractionnement de leur action en fonction des frontières provinciales entraînerait des coûts plus élevés, voire exorbitants, puisqu’ils seraient tenus de « dédoubler » leurs démarches judiciaires. De plus, cela pourrait donner lieu à des décisions contradictoires qui devraient être réexaminées par les tribunaux. Le juge de première instance et la Cour d’appel ont tous deux reconnu le risque que ce résultat fasse dérailler l’ensemble de la procédure.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Ce sont là des considérations incontournables lorsqu’on aborde la question de l’accès à la justice, surtout lorsque, en outre, on a affaire à des droits ancestraux qui sont par leur nature même préexistants.</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Comme la juge en chef McLachlin l’a affirmé dans l’arrêt </w:t>
      </w:r>
      <w:r w:rsidRPr="007B79E3">
        <w:rPr>
          <w:rFonts w:cs="Times New Roman"/>
          <w:i/>
          <w:szCs w:val="24"/>
          <w:lang w:val="fr-CA"/>
        </w:rPr>
        <w:t>Trial Lawyers Association of British Columbia</w:t>
      </w:r>
      <w:r w:rsidRPr="007B79E3">
        <w:rPr>
          <w:rFonts w:cs="Times New Roman"/>
          <w:szCs w:val="24"/>
          <w:lang w:val="fr-CA"/>
        </w:rPr>
        <w:t>, les tribunaux visés à l’art. 96 ont un rôle constitutionnel spécial à jouer en matière d’accès à la justice :</w:t>
      </w:r>
    </w:p>
    <w:p w:rsidR="00CF3116" w:rsidRPr="007B79E3" w:rsidRDefault="00CF3116" w:rsidP="00CF3116">
      <w:pPr>
        <w:pStyle w:val="Citation-AltC"/>
        <w:tabs>
          <w:tab w:val="left" w:pos="1800"/>
        </w:tabs>
        <w:ind w:left="1168" w:hanging="1168"/>
        <w:contextualSpacing w:val="0"/>
        <w:rPr>
          <w:shd w:val="clear" w:color="auto" w:fill="FFFFFF"/>
          <w:lang w:val="fr-CA"/>
        </w:rPr>
      </w:pPr>
      <w:r w:rsidRPr="007B79E3">
        <w:rPr>
          <w:shd w:val="clear" w:color="auto" w:fill="FFFFFF"/>
          <w:lang w:val="fr-CA"/>
        </w:rPr>
        <w:tab/>
      </w:r>
      <w:r w:rsidRPr="007B79E3">
        <w:rPr>
          <w:shd w:val="clear" w:color="auto" w:fill="FFFFFF"/>
          <w:lang w:val="fr-CA"/>
        </w:rPr>
        <w:tab/>
        <w:t xml:space="preserve">Le rôle de protection des tribunaux que joue l’art. 96 et la primauté du droit sont inextricablement liés. Comme l’a indiqué le juge en chef Lamer dans l’arrêt </w:t>
      </w:r>
      <w:r w:rsidRPr="007B79E3">
        <w:rPr>
          <w:i/>
          <w:shd w:val="clear" w:color="auto" w:fill="FFFFFF"/>
          <w:lang w:val="fr-CA"/>
        </w:rPr>
        <w:t>MacMillan Bloedel</w:t>
      </w:r>
      <w:r w:rsidRPr="007B79E3">
        <w:rPr>
          <w:shd w:val="clear" w:color="auto" w:fill="FFFFFF"/>
          <w:lang w:val="fr-CA"/>
        </w:rPr>
        <w:t xml:space="preserve">, « [s]elon les ententes constitutionnelles qui nous ont été transmises par l’Angleterre et qui sont reconnues dans le préambule de la </w:t>
      </w:r>
      <w:r w:rsidRPr="007B79E3">
        <w:rPr>
          <w:i/>
          <w:shd w:val="clear" w:color="auto" w:fill="FFFFFF"/>
          <w:lang w:val="fr-CA"/>
        </w:rPr>
        <w:t>Loi constitutionnelle de 1867</w:t>
      </w:r>
      <w:r w:rsidRPr="007B79E3">
        <w:rPr>
          <w:shd w:val="clear" w:color="auto" w:fill="FFFFFF"/>
          <w:lang w:val="fr-CA"/>
        </w:rPr>
        <w:t>, les cours supérieures provinciales constituent le fondement de la primauté du droit » (par. 37). La raison d’être même de la disposition est, affirme</w:t>
      </w:r>
      <w:r w:rsidRPr="007B79E3">
        <w:rPr>
          <w:shd w:val="clear" w:color="auto" w:fill="FFFFFF"/>
          <w:lang w:val="fr-CA"/>
        </w:rPr>
        <w:noBreakHyphen/>
        <w:t>t</w:t>
      </w:r>
      <w:r w:rsidRPr="007B79E3">
        <w:rPr>
          <w:shd w:val="clear" w:color="auto" w:fill="FFFFFF"/>
          <w:lang w:val="fr-CA"/>
        </w:rPr>
        <w:noBreakHyphen/>
        <w:t xml:space="preserve">on, « [le] maintien de la primauté du droit par la protection du rôle des tribunaux » : </w:t>
      </w:r>
      <w:r w:rsidRPr="007B79E3">
        <w:rPr>
          <w:i/>
          <w:shd w:val="clear" w:color="auto" w:fill="FFFFFF"/>
          <w:lang w:val="fr-CA"/>
        </w:rPr>
        <w:t>Renvoi relatif aux juges de la Cour provinciale</w:t>
      </w:r>
      <w:r w:rsidRPr="007B79E3">
        <w:rPr>
          <w:shd w:val="clear" w:color="auto" w:fill="FFFFFF"/>
          <w:lang w:val="fr-CA"/>
        </w:rPr>
        <w:t>, par. 88. Puisque l’accès à la justice est essentiel à la primauté du droit, et que celle</w:t>
      </w:r>
      <w:r w:rsidRPr="007B79E3">
        <w:rPr>
          <w:shd w:val="clear" w:color="auto" w:fill="FFFFFF"/>
          <w:lang w:val="fr-CA"/>
        </w:rPr>
        <w:noBreakHyphen/>
        <w:t>ci est favorisée par le maintien des cours visées à l’art. 96, il est naturel que cet article accorde une certaine protection constitutionnelle à l’accès à la justice. [</w:t>
      </w:r>
      <w:proofErr w:type="gramStart"/>
      <w:r w:rsidRPr="007B79E3">
        <w:rPr>
          <w:shd w:val="clear" w:color="auto" w:fill="FFFFFF"/>
          <w:lang w:val="fr-CA"/>
        </w:rPr>
        <w:t>par</w:t>
      </w:r>
      <w:proofErr w:type="gramEnd"/>
      <w:r w:rsidRPr="007B79E3">
        <w:rPr>
          <w:shd w:val="clear" w:color="auto" w:fill="FFFFFF"/>
          <w:lang w:val="fr-CA"/>
        </w:rPr>
        <w:t>. 39]</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Dans l’arrêt </w:t>
      </w:r>
      <w:r w:rsidRPr="007B79E3">
        <w:rPr>
          <w:rFonts w:cs="Times New Roman"/>
          <w:i/>
          <w:szCs w:val="24"/>
          <w:lang w:val="fr-CA"/>
        </w:rPr>
        <w:t>Hunt c. T&amp;N plc</w:t>
      </w:r>
      <w:r w:rsidRPr="007B79E3">
        <w:rPr>
          <w:rFonts w:cs="Times New Roman"/>
          <w:szCs w:val="24"/>
          <w:lang w:val="fr-CA"/>
        </w:rPr>
        <w:t xml:space="preserve">, [1993] 4 R.C.S. 289, la Cour a déclaré que, « [a]vant tout, il </w:t>
      </w:r>
      <w:r w:rsidRPr="007B79E3">
        <w:rPr>
          <w:rFonts w:cs="Times New Roman"/>
          <w:szCs w:val="24"/>
          <w:u w:val="single"/>
          <w:lang w:val="fr-CA"/>
        </w:rPr>
        <w:t>n</w:t>
      </w:r>
      <w:r w:rsidRPr="007B79E3">
        <w:rPr>
          <w:rFonts w:cs="Times New Roman"/>
          <w:szCs w:val="24"/>
          <w:lang w:val="fr-CA"/>
        </w:rPr>
        <w:t xml:space="preserve">’est simplement </w:t>
      </w:r>
      <w:r w:rsidRPr="007B79E3">
        <w:rPr>
          <w:rFonts w:cs="Times New Roman"/>
          <w:szCs w:val="24"/>
          <w:u w:val="single"/>
          <w:lang w:val="fr-CA"/>
        </w:rPr>
        <w:t>pas juste</w:t>
      </w:r>
      <w:r w:rsidRPr="007B79E3">
        <w:rPr>
          <w:rFonts w:cs="Times New Roman"/>
          <w:szCs w:val="24"/>
          <w:lang w:val="fr-CA"/>
        </w:rPr>
        <w:t xml:space="preserve"> d’imposer à la partie touchée le fardeau d’engager une action constitutionnelle coûteuse dans un autre ressort » : p. 315 (nous soulignons). Comme la Cour l’a fait observer, ce souci d’équité n’était pas nouveau puisque, dans l’arrêt antérieur </w:t>
      </w:r>
      <w:r w:rsidRPr="007B79E3">
        <w:rPr>
          <w:rFonts w:cs="Times New Roman"/>
          <w:i/>
          <w:szCs w:val="24"/>
          <w:lang w:val="fr-CA"/>
        </w:rPr>
        <w:t>Morguard Investments Ltd. c. De Savoye</w:t>
      </w:r>
      <w:r w:rsidRPr="007B79E3">
        <w:rPr>
          <w:rFonts w:cs="Times New Roman"/>
          <w:szCs w:val="24"/>
          <w:lang w:val="fr-CA"/>
        </w:rPr>
        <w:t>, [1990] 3 R.C.S. 1077, elle était soucieuse « de tempérer cette source d’injustice et d’inconvénient pour les parties à un litige conformément au caractère changeant de la communauté internationale et, particulièrement, en fonction de la structure constitutionnelle canadienne » : p. 321.</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 xml:space="preserve">Ces décisions s’appliquent à plus forte raison à la situation des demandeurs autochtones en général et à celle des Innus en l’espèce. Lorsqu’une revendication de titre ou de droits ancestraux concerne un territoire qui chevauche la frontière qui sépare plusieurs provinces, le fait d’obliger le demandeur à plaider plusieurs fois les </w:t>
      </w:r>
      <w:r w:rsidRPr="007B79E3">
        <w:rPr>
          <w:rFonts w:cs="Times New Roman"/>
          <w:i/>
          <w:szCs w:val="24"/>
          <w:lang w:val="fr-CA"/>
        </w:rPr>
        <w:t>mêmes questions</w:t>
      </w:r>
      <w:r w:rsidRPr="007B79E3">
        <w:rPr>
          <w:rFonts w:cs="Times New Roman"/>
          <w:szCs w:val="24"/>
          <w:lang w:val="fr-CA"/>
        </w:rPr>
        <w:t xml:space="preserve"> devant des cours distinctes crée des obstacles inutiles à des revendications potentiellement valides. Nous souscrivons à l’argument de l’intervenante, </w:t>
      </w:r>
      <w:r w:rsidR="009515AA">
        <w:rPr>
          <w:rFonts w:eastAsia="Times New Roman" w:cs="Times New Roman"/>
          <w:szCs w:val="20"/>
          <w:lang w:val="fr-CA" w:eastAsia="en-CA"/>
        </w:rPr>
        <w:t xml:space="preserve">la </w:t>
      </w:r>
      <w:r w:rsidR="009515AA" w:rsidRPr="009515AA">
        <w:rPr>
          <w:rFonts w:eastAsia="Times New Roman" w:cs="Times New Roman"/>
          <w:szCs w:val="20"/>
          <w:lang w:val="fr-CA" w:eastAsia="en-CA"/>
        </w:rPr>
        <w:t>Tsawout First Nation</w:t>
      </w:r>
      <w:r w:rsidRPr="007B79E3">
        <w:rPr>
          <w:rFonts w:cs="Times New Roman"/>
          <w:szCs w:val="24"/>
          <w:lang w:val="fr-CA"/>
        </w:rPr>
        <w:t xml:space="preserve">, selon lequel cette façon de faire serait particulièrement injuste puisque les droits revendiqués sont antérieurs à l’établissement des frontières provinciales imposées aux peuples autochtones. Nous réitérons que la source juridique du titre et des droits ancestraux </w:t>
      </w:r>
      <w:r w:rsidRPr="007B79E3">
        <w:rPr>
          <w:rFonts w:cs="Times New Roman"/>
          <w:i/>
          <w:szCs w:val="24"/>
          <w:lang w:val="fr-CA"/>
        </w:rPr>
        <w:t>n’est pas</w:t>
      </w:r>
      <w:r w:rsidRPr="007B79E3">
        <w:rPr>
          <w:rFonts w:cs="Times New Roman"/>
          <w:szCs w:val="24"/>
          <w:lang w:val="fr-CA"/>
        </w:rPr>
        <w:t xml:space="preserve"> leur reconnaissance par l’État, mais plutôt la réalité de l’occupation antérieure, de la souveraineté et du contrôle : voir, par ex., </w:t>
      </w:r>
      <w:r w:rsidRPr="007B79E3">
        <w:rPr>
          <w:rFonts w:cs="Times New Roman"/>
          <w:i/>
          <w:szCs w:val="24"/>
          <w:lang w:val="fr-CA"/>
        </w:rPr>
        <w:t>Delgamuukw</w:t>
      </w:r>
      <w:r w:rsidRPr="007B79E3">
        <w:rPr>
          <w:rFonts w:cs="Times New Roman"/>
          <w:szCs w:val="24"/>
          <w:lang w:val="fr-CA"/>
        </w:rPr>
        <w:t>, par. 114. Nous rejetons l’idée selon laquelle l’établissement ultérieur de frontières provinciales devrait permettre de priver les Autochtones de leur droit à des réparations efficaces pour des violations alléguées de ces droits préexistants ou d’y porter atteinte.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Dans le contexte particulier des revendications fondées sur l’art. 35 qui concernent un territoire chevauchant les frontières qui séparent plusieurs provinces, le principe de l’accès à la justice commande que les règles en matière de compétence soient interprétées avec souplesse de manière à ne pas empêcher les peuples autochtones de faire valoir leurs droits constitutionnels, y compris leurs droits traditionnels à l’égard d’un territoire : voir, de manière générale, </w:t>
      </w:r>
      <w:r w:rsidRPr="007B79E3">
        <w:rPr>
          <w:rFonts w:cs="Times New Roman"/>
          <w:i/>
          <w:szCs w:val="24"/>
          <w:lang w:val="fr-CA"/>
        </w:rPr>
        <w:t>Canada (Procureur général) c. TeleZone Inc.</w:t>
      </w:r>
      <w:r w:rsidRPr="007B79E3">
        <w:rPr>
          <w:rFonts w:cs="Times New Roman"/>
          <w:szCs w:val="24"/>
          <w:lang w:val="fr-CA"/>
        </w:rPr>
        <w:t xml:space="preserve">, 2010 CSC 62, [2010] 3 R.C.S. 585, par. 18; </w:t>
      </w:r>
      <w:r w:rsidRPr="007B79E3">
        <w:rPr>
          <w:rFonts w:cs="Times New Roman"/>
          <w:i/>
          <w:szCs w:val="24"/>
          <w:lang w:val="fr-CA"/>
        </w:rPr>
        <w:t>Trial Lawyers Association of British Columbia</w:t>
      </w:r>
      <w:r w:rsidRPr="007B79E3">
        <w:rPr>
          <w:rFonts w:cs="Times New Roman"/>
          <w:szCs w:val="24"/>
          <w:lang w:val="fr-CA"/>
        </w:rPr>
        <w:t>, par. 39</w:t>
      </w:r>
      <w:r w:rsidRPr="007B79E3">
        <w:rPr>
          <w:rFonts w:cs="Times New Roman"/>
          <w:szCs w:val="24"/>
          <w:lang w:val="fr-CA"/>
        </w:rPr>
        <w:noBreakHyphen/>
        <w:t xml:space="preserve">40; </w:t>
      </w:r>
      <w:r w:rsidRPr="007B79E3">
        <w:rPr>
          <w:rFonts w:cs="Times New Roman"/>
          <w:i/>
          <w:szCs w:val="24"/>
          <w:lang w:val="fr-CA"/>
        </w:rPr>
        <w:t>B.C.G.E.U. c. Colombie</w:t>
      </w:r>
      <w:r w:rsidRPr="007B79E3">
        <w:rPr>
          <w:rFonts w:cs="Times New Roman"/>
          <w:i/>
          <w:szCs w:val="24"/>
          <w:lang w:val="fr-CA"/>
        </w:rPr>
        <w:noBreakHyphen/>
        <w:t xml:space="preserve">Britannique </w:t>
      </w:r>
      <w:r w:rsidRPr="007B79E3">
        <w:rPr>
          <w:rFonts w:cs="Times New Roman"/>
          <w:i/>
          <w:szCs w:val="24"/>
          <w:lang w:val="fr-CA"/>
        </w:rPr>
        <w:lastRenderedPageBreak/>
        <w:t>(Procureur général)</w:t>
      </w:r>
      <w:r w:rsidRPr="007B79E3">
        <w:rPr>
          <w:rFonts w:cs="Times New Roman"/>
          <w:szCs w:val="24"/>
          <w:lang w:val="fr-CA"/>
        </w:rPr>
        <w:t>, [1988] 2 R.C.S. 214, p. 229</w:t>
      </w:r>
      <w:r>
        <w:rPr>
          <w:rFonts w:cs="Times New Roman"/>
          <w:szCs w:val="24"/>
          <w:lang w:val="fr-CA"/>
        </w:rPr>
        <w:noBreakHyphen/>
      </w:r>
      <w:r w:rsidRPr="007B79E3">
        <w:rPr>
          <w:rFonts w:cs="Times New Roman"/>
          <w:szCs w:val="24"/>
          <w:lang w:val="fr-CA"/>
        </w:rPr>
        <w:t xml:space="preserve">230; </w:t>
      </w:r>
      <w:r w:rsidRPr="007B79E3">
        <w:rPr>
          <w:rFonts w:cs="Times New Roman"/>
          <w:i/>
          <w:szCs w:val="24"/>
          <w:lang w:val="fr-CA"/>
        </w:rPr>
        <w:t>Hryniak c. Mauldin</w:t>
      </w:r>
      <w:r w:rsidRPr="007B79E3">
        <w:rPr>
          <w:rFonts w:cs="Times New Roman"/>
          <w:szCs w:val="24"/>
          <w:lang w:val="fr-CA"/>
        </w:rPr>
        <w:t>, 2014 CSC 7, [201</w:t>
      </w:r>
      <w:r w:rsidR="0065691B">
        <w:rPr>
          <w:rFonts w:cs="Times New Roman"/>
          <w:szCs w:val="24"/>
          <w:lang w:val="fr-CA"/>
        </w:rPr>
        <w:t>4] 1 R.C.S. 87, par. 1, 23 et suiv</w:t>
      </w:r>
      <w:r w:rsidRPr="007B79E3">
        <w:rPr>
          <w:rFonts w:cs="Times New Roman"/>
          <w:szCs w:val="24"/>
          <w:lang w:val="fr-CA"/>
        </w:rPr>
        <w:t>.</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Le principe de l’honneur de la Couronne exige quant à lui que l’on soit soucieux de minimiser les coûts et la complexité des causes fondées sur l’art. 35. Qui plus est, les tribunaux doivent aborder les affaires qui impliquent la Couronne de manière pratique et pragmatique afin de régler efficacement les litiges de ce type.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Obliger les Innus à scinder leur demande irait à l’encontre du double impératif constitutionnel de faciliter l’accès à la justice et de préserver l’honneur de la Couronne.</w:t>
      </w:r>
    </w:p>
    <w:p w:rsidR="00CF3116" w:rsidRPr="007B79E3" w:rsidRDefault="00CF3116" w:rsidP="00CF3116">
      <w:pPr>
        <w:pStyle w:val="Title2LevelTitre2Niveau"/>
        <w:numPr>
          <w:ilvl w:val="1"/>
          <w:numId w:val="8"/>
        </w:numPr>
        <w:spacing w:before="0"/>
        <w:jc w:val="both"/>
        <w:rPr>
          <w:rFonts w:cs="Times New Roman"/>
          <w:lang w:val="fr-CA"/>
        </w:rPr>
      </w:pPr>
      <w:r w:rsidRPr="007B79E3">
        <w:rPr>
          <w:rFonts w:cs="Times New Roman"/>
          <w:lang w:val="fr-CA"/>
        </w:rPr>
        <w:t xml:space="preserve">L’application du cadre d’analyse prescrit par le </w:t>
      </w:r>
      <w:r>
        <w:rPr>
          <w:rFonts w:cs="Times New Roman"/>
          <w:iCs/>
          <w:lang w:val="fr-CA"/>
        </w:rPr>
        <w:t>Code civil</w:t>
      </w:r>
    </w:p>
    <w:p w:rsidR="00CF3116" w:rsidRPr="007B79E3" w:rsidRDefault="00CF3116" w:rsidP="00CF3116">
      <w:pPr>
        <w:pStyle w:val="ParaNoNdepar-AltN"/>
        <w:widowControl w:val="0"/>
        <w:tabs>
          <w:tab w:val="clear" w:pos="1152"/>
          <w:tab w:val="num" w:pos="1170"/>
        </w:tabs>
        <w:spacing w:before="0"/>
        <w:ind w:left="86"/>
        <w:rPr>
          <w:rFonts w:cs="Times New Roman"/>
          <w:szCs w:val="24"/>
          <w:lang w:val="fr-CA"/>
        </w:rPr>
      </w:pPr>
      <w:r w:rsidRPr="007B79E3">
        <w:rPr>
          <w:rFonts w:cs="Times New Roman"/>
          <w:szCs w:val="24"/>
          <w:lang w:val="fr-CA"/>
        </w:rPr>
        <w:t xml:space="preserve">Hormis le cas présent, nous ne connaissons aucune affaire dans laquelle un tribunal québécois a été appelé à définir la nature d’une action touchant les droits garantis par l’art. 35 pour l’application </w:t>
      </w:r>
      <w:r>
        <w:rPr>
          <w:rFonts w:cs="Times New Roman"/>
          <w:szCs w:val="24"/>
          <w:lang w:val="fr-CA"/>
        </w:rPr>
        <w:t>du L</w:t>
      </w:r>
      <w:r w:rsidRPr="007B79E3">
        <w:rPr>
          <w:rFonts w:cs="Times New Roman"/>
          <w:szCs w:val="24"/>
          <w:lang w:val="fr-CA"/>
        </w:rPr>
        <w:t xml:space="preserve">ivre dixième. Puisqu’il n’existe aucun précédent pour nous aider à déterminer à quelle catégorie </w:t>
      </w:r>
      <w:proofErr w:type="gramStart"/>
      <w:r w:rsidRPr="007B79E3">
        <w:rPr>
          <w:rFonts w:cs="Times New Roman"/>
          <w:szCs w:val="24"/>
          <w:lang w:val="fr-CA"/>
        </w:rPr>
        <w:t>d’actions appartient</w:t>
      </w:r>
      <w:proofErr w:type="gramEnd"/>
      <w:r w:rsidRPr="007B79E3">
        <w:rPr>
          <w:rFonts w:cs="Times New Roman"/>
          <w:szCs w:val="24"/>
          <w:lang w:val="fr-CA"/>
        </w:rPr>
        <w:t xml:space="preserve"> un recours visant la reconnaissance de droits protégés par l’art. 35, il importe d’examiner les droits en cause et la réparat</w:t>
      </w:r>
      <w:r>
        <w:rPr>
          <w:rFonts w:cs="Times New Roman"/>
          <w:szCs w:val="24"/>
          <w:lang w:val="fr-CA"/>
        </w:rPr>
        <w:t>ion demandée dans l’optique du L</w:t>
      </w:r>
      <w:r w:rsidRPr="007B79E3">
        <w:rPr>
          <w:rFonts w:cs="Times New Roman"/>
          <w:szCs w:val="24"/>
          <w:lang w:val="fr-CA"/>
        </w:rPr>
        <w:t xml:space="preserve">ivre dixième. À notre avis, le juge des requêtes a eu raison de conclure que, en l’absence d’une disposition particulière relative aux droits garantis par l’art. 35, les tribunaux du Québec étaient compétents en vertu </w:t>
      </w:r>
      <w:proofErr w:type="gramStart"/>
      <w:r w:rsidRPr="007B79E3">
        <w:rPr>
          <w:rFonts w:cs="Times New Roman"/>
          <w:szCs w:val="24"/>
          <w:lang w:val="fr-CA"/>
        </w:rPr>
        <w:t>des art</w:t>
      </w:r>
      <w:proofErr w:type="gramEnd"/>
      <w:r w:rsidRPr="007B79E3">
        <w:rPr>
          <w:rFonts w:cs="Times New Roman"/>
          <w:szCs w:val="24"/>
          <w:lang w:val="fr-CA"/>
        </w:rPr>
        <w:t xml:space="preserve">. 3134 et 3148 al. 1(1) du </w:t>
      </w:r>
      <w:r w:rsidRPr="007B79E3">
        <w:rPr>
          <w:rFonts w:cs="Times New Roman"/>
          <w:i/>
          <w:szCs w:val="24"/>
          <w:lang w:val="fr-CA"/>
        </w:rPr>
        <w:t>C.c.Q.</w:t>
      </w:r>
      <w:r w:rsidRPr="007B79E3">
        <w:rPr>
          <w:rFonts w:cs="Times New Roman"/>
          <w:szCs w:val="24"/>
          <w:lang w:val="fr-CA"/>
        </w:rPr>
        <w:t xml:space="preserve"> La Cour d’appel en est venue à la même conclusion, estimant que le juge des requêtes « </w:t>
      </w:r>
      <w:proofErr w:type="gramStart"/>
      <w:r w:rsidRPr="007B79E3">
        <w:rPr>
          <w:rFonts w:cs="Times New Roman"/>
          <w:szCs w:val="24"/>
          <w:lang w:val="fr-CA"/>
        </w:rPr>
        <w:t>n[</w:t>
      </w:r>
      <w:proofErr w:type="gramEnd"/>
      <w:r w:rsidRPr="007B79E3">
        <w:rPr>
          <w:rFonts w:cs="Times New Roman"/>
          <w:szCs w:val="24"/>
          <w:lang w:val="fr-CA"/>
        </w:rPr>
        <w:t>’avait pas] comm[is] d’erreur sur cette question » : par. 61.</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 xml:space="preserve">Dans l’ouvrage </w:t>
      </w:r>
      <w:r w:rsidRPr="007B79E3">
        <w:rPr>
          <w:rFonts w:cs="Times New Roman"/>
          <w:i/>
          <w:szCs w:val="24"/>
          <w:lang w:val="fr-CA"/>
        </w:rPr>
        <w:t>Vocabulaire juridique</w:t>
      </w:r>
      <w:r w:rsidRPr="007B79E3">
        <w:rPr>
          <w:rFonts w:cs="Times New Roman"/>
          <w:szCs w:val="24"/>
          <w:lang w:val="fr-CA"/>
        </w:rPr>
        <w:t xml:space="preserve"> (12</w:t>
      </w:r>
      <w:r w:rsidRPr="007B79E3">
        <w:rPr>
          <w:rFonts w:cs="Times New Roman"/>
          <w:szCs w:val="24"/>
          <w:vertAlign w:val="superscript"/>
          <w:lang w:val="fr-CA"/>
        </w:rPr>
        <w:t>e</w:t>
      </w:r>
      <w:r w:rsidRPr="007B79E3">
        <w:rPr>
          <w:rFonts w:cs="Times New Roman"/>
          <w:szCs w:val="24"/>
          <w:lang w:val="fr-CA"/>
        </w:rPr>
        <w:t xml:space="preserve"> éd. 2018), G. Cornu a donné les définitions suivantes des actions « personnelle », « réelle » et « mixte » :</w:t>
      </w:r>
    </w:p>
    <w:p w:rsidR="00CF3116" w:rsidRPr="007B79E3" w:rsidRDefault="002574CF" w:rsidP="00CF3116">
      <w:pPr>
        <w:pStyle w:val="Citation-AltC"/>
        <w:tabs>
          <w:tab w:val="left" w:pos="1800"/>
        </w:tabs>
        <w:spacing w:after="240"/>
        <w:ind w:left="1168" w:hanging="1168"/>
        <w:contextualSpacing w:val="0"/>
        <w:rPr>
          <w:lang w:val="fr-CA"/>
        </w:rPr>
      </w:pPr>
      <w:r>
        <w:rPr>
          <w:lang w:val="fr-CA"/>
        </w:rPr>
        <w:tab/>
      </w:r>
      <w:r>
        <w:rPr>
          <w:lang w:val="fr-CA"/>
        </w:rPr>
        <w:tab/>
      </w:r>
      <w:proofErr w:type="gramStart"/>
      <w:r w:rsidR="00CF3116" w:rsidRPr="007B79E3">
        <w:rPr>
          <w:b/>
          <w:i/>
          <w:lang w:val="fr-CA"/>
        </w:rPr>
        <w:t>action</w:t>
      </w:r>
      <w:proofErr w:type="gramEnd"/>
      <w:r w:rsidR="00CF3116" w:rsidRPr="007B79E3">
        <w:rPr>
          <w:b/>
          <w:i/>
          <w:lang w:val="fr-CA"/>
        </w:rPr>
        <w:t xml:space="preserve"> personnelle.</w:t>
      </w:r>
      <w:r w:rsidR="00CF3116" w:rsidRPr="007B79E3">
        <w:rPr>
          <w:lang w:val="fr-CA"/>
        </w:rPr>
        <w:t xml:space="preserve"> Action par laquelle on demande la reconnaissance ou la protection d’un droit personnel (d’une créance) quelle qu’en soit la source (contrat, quasi-contrat, délit, quasi</w:t>
      </w:r>
      <w:r w:rsidR="00CF3116" w:rsidRPr="007B79E3">
        <w:rPr>
          <w:lang w:val="fr-CA"/>
        </w:rPr>
        <w:noBreakHyphen/>
        <w:t xml:space="preserve">délit) et qui est, en général, mobilière, comme la créance dont l’exécution est réclamée (ex. action en recouvrement d’un prêt d’argent) mais qui peut être immobilière, si cette créance l’est aussi. Ex. l’action en délivrance de tant d’hectares de terre </w:t>
      </w:r>
      <w:r w:rsidR="00CF3116">
        <w:rPr>
          <w:lang w:val="fr-CA"/>
        </w:rPr>
        <w:t>dans un terrain de lotissement.</w:t>
      </w:r>
    </w:p>
    <w:p w:rsidR="00CF3116" w:rsidRPr="007B79E3" w:rsidRDefault="00CF3116" w:rsidP="00CF3116">
      <w:pPr>
        <w:pStyle w:val="Citation-AltC"/>
        <w:tabs>
          <w:tab w:val="left" w:pos="1843"/>
          <w:tab w:val="left" w:pos="4500"/>
        </w:tabs>
        <w:spacing w:after="240"/>
        <w:ind w:left="1168" w:hanging="1168"/>
        <w:contextualSpacing w:val="0"/>
        <w:jc w:val="center"/>
        <w:rPr>
          <w:lang w:val="fr-CA"/>
        </w:rPr>
      </w:pPr>
      <w:r>
        <w:rPr>
          <w:lang w:val="fr-CA"/>
        </w:rPr>
        <w:tab/>
      </w:r>
      <w:r w:rsidRPr="007B79E3">
        <w:rPr>
          <w:lang w:val="fr-CA"/>
        </w:rPr>
        <w:t>. . .</w:t>
      </w:r>
    </w:p>
    <w:p w:rsidR="00CF3116" w:rsidRPr="007B79E3" w:rsidRDefault="002574CF" w:rsidP="00CF3116">
      <w:pPr>
        <w:pStyle w:val="Citation-AltC"/>
        <w:tabs>
          <w:tab w:val="left" w:pos="1800"/>
        </w:tabs>
        <w:spacing w:after="240"/>
        <w:ind w:left="1168" w:hanging="1168"/>
        <w:contextualSpacing w:val="0"/>
        <w:rPr>
          <w:lang w:val="fr-CA"/>
        </w:rPr>
      </w:pPr>
      <w:r>
        <w:rPr>
          <w:lang w:val="fr-CA"/>
        </w:rPr>
        <w:tab/>
      </w:r>
      <w:r>
        <w:rPr>
          <w:lang w:val="fr-CA"/>
        </w:rPr>
        <w:tab/>
      </w:r>
      <w:proofErr w:type="gramStart"/>
      <w:r w:rsidR="00CF3116" w:rsidRPr="007B79E3">
        <w:rPr>
          <w:b/>
          <w:i/>
          <w:lang w:val="fr-CA"/>
        </w:rPr>
        <w:t>action</w:t>
      </w:r>
      <w:proofErr w:type="gramEnd"/>
      <w:r w:rsidR="00CF3116" w:rsidRPr="007B79E3">
        <w:rPr>
          <w:b/>
          <w:i/>
          <w:lang w:val="fr-CA"/>
        </w:rPr>
        <w:t xml:space="preserve"> réelle.</w:t>
      </w:r>
      <w:r w:rsidR="00CF3116" w:rsidRPr="007B79E3">
        <w:rPr>
          <w:lang w:val="fr-CA"/>
        </w:rPr>
        <w:t xml:space="preserve"> Action par laquelle on demande la reconnaissance ou la protection d’un droit réel (droit de propriété, servitude, usufruit, hypothèque) et qui est mobilière si le droit réel exercé porte sur un meuble. Ex. action en revendication d’un meuble perdu ou volé; immobilière si le droit porte sur un immeuble. Ex. action en revendication d’un immeuble.</w:t>
      </w:r>
    </w:p>
    <w:p w:rsidR="00CF3116" w:rsidRPr="007B79E3" w:rsidRDefault="00CF3116" w:rsidP="00CF3116">
      <w:pPr>
        <w:pStyle w:val="Citation-AltC"/>
        <w:tabs>
          <w:tab w:val="left" w:pos="1843"/>
          <w:tab w:val="left" w:pos="4500"/>
        </w:tabs>
        <w:spacing w:after="240"/>
        <w:ind w:left="1168" w:hanging="1168"/>
        <w:contextualSpacing w:val="0"/>
        <w:jc w:val="center"/>
        <w:rPr>
          <w:lang w:val="fr-CA"/>
        </w:rPr>
      </w:pPr>
      <w:r>
        <w:rPr>
          <w:lang w:val="fr-CA"/>
        </w:rPr>
        <w:tab/>
      </w:r>
      <w:r w:rsidRPr="007B79E3">
        <w:rPr>
          <w:lang w:val="fr-CA"/>
        </w:rPr>
        <w:t>. . .</w:t>
      </w:r>
    </w:p>
    <w:p w:rsidR="00CF3116" w:rsidRPr="007B79E3" w:rsidRDefault="002574CF" w:rsidP="00CF3116">
      <w:pPr>
        <w:pStyle w:val="Citation-AltC"/>
        <w:tabs>
          <w:tab w:val="left" w:pos="1843"/>
        </w:tabs>
        <w:ind w:hanging="1166"/>
        <w:contextualSpacing w:val="0"/>
        <w:rPr>
          <w:lang w:val="fr-CA"/>
        </w:rPr>
      </w:pPr>
      <w:r>
        <w:rPr>
          <w:lang w:val="fr-CA"/>
        </w:rPr>
        <w:tab/>
      </w:r>
      <w:r>
        <w:rPr>
          <w:lang w:val="fr-CA"/>
        </w:rPr>
        <w:tab/>
      </w:r>
      <w:r w:rsidR="000A2C73">
        <w:rPr>
          <w:lang w:val="fr-CA"/>
        </w:rPr>
        <w:t>19</w:t>
      </w:r>
      <w:r w:rsidR="00CF3116" w:rsidRPr="007B79E3">
        <w:rPr>
          <w:b/>
          <w:i/>
          <w:lang w:val="fr-CA"/>
        </w:rPr>
        <w:t>action mixte.</w:t>
      </w:r>
      <w:r w:rsidR="00CF3116" w:rsidRPr="007B79E3">
        <w:rPr>
          <w:lang w:val="fr-CA"/>
        </w:rPr>
        <w:t xml:space="preserve"> Action par laquelle le demandeur agit tout à la fois en reconnaissance d’un droit réel et en exécution d’une obligation. Ex. l’action en résolution de la vente exercée contre l’acheteur pour défaut de paiement du prix; l’action par laquelle l’acquéreur ou le donataire demande à être mis en possession de l’immeuble dont il est devenu propriétaire par la vente ou la donation. [Référence omise; p. 26, 27 et 28]</w:t>
      </w:r>
    </w:p>
    <w:p w:rsidR="00CF3116" w:rsidRPr="007B79E3" w:rsidRDefault="00CF3116" w:rsidP="00CF3116">
      <w:pPr>
        <w:pStyle w:val="ParaNoNdepar-AltN"/>
        <w:numPr>
          <w:ilvl w:val="0"/>
          <w:numId w:val="0"/>
        </w:numPr>
        <w:ind w:left="90"/>
        <w:rPr>
          <w:lang w:val="fr-CA"/>
        </w:rPr>
      </w:pPr>
      <w:r w:rsidRPr="007B79E3">
        <w:rPr>
          <w:lang w:val="fr-CA"/>
        </w:rPr>
        <w:t xml:space="preserve">La Cour d’appel du Québec a repris ces trois définitions à son compte à la page 516 de l’arrêt </w:t>
      </w:r>
      <w:r w:rsidRPr="007B79E3">
        <w:rPr>
          <w:i/>
          <w:lang w:val="fr-CA"/>
        </w:rPr>
        <w:t>Bern</w:t>
      </w:r>
      <w:r w:rsidRPr="007B79E3">
        <w:rPr>
          <w:lang w:val="fr-CA"/>
        </w:rPr>
        <w:t>.</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Selon le procureur général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 la présente action [</w:t>
      </w:r>
      <w:r w:rsidRPr="007B79E3">
        <w:rPr>
          <w:rFonts w:cs="Times New Roman"/>
          <w:smallCaps/>
          <w:szCs w:val="24"/>
          <w:lang w:val="fr-CA"/>
        </w:rPr>
        <w:t>traduction</w:t>
      </w:r>
      <w:r w:rsidRPr="007B79E3">
        <w:rPr>
          <w:rFonts w:cs="Times New Roman"/>
          <w:szCs w:val="24"/>
          <w:lang w:val="fr-CA"/>
        </w:rPr>
        <w:t xml:space="preserve">] « porte essentiellement sur [. . .] le territoire », et constitue donc une action purement réelle : </w:t>
      </w:r>
      <w:proofErr w:type="gramStart"/>
      <w:r w:rsidRPr="007B79E3">
        <w:rPr>
          <w:rFonts w:cs="Times New Roman"/>
          <w:szCs w:val="24"/>
          <w:lang w:val="fr-CA"/>
        </w:rPr>
        <w:t>m.a.,</w:t>
      </w:r>
      <w:proofErr w:type="gramEnd"/>
      <w:r w:rsidRPr="007B79E3">
        <w:rPr>
          <w:rFonts w:cs="Times New Roman"/>
          <w:szCs w:val="24"/>
          <w:lang w:val="fr-CA"/>
        </w:rPr>
        <w:t xml:space="preserve"> par. 55. Il s’agit d’un argument que nous ne pouvons accepter.</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 xml:space="preserve">En l’espèce, la demande relève de la catégorie des actions « mixtes », dans la mesure où les Innus réclament à la fois la reconnaissance d’un droit </w:t>
      </w:r>
      <w:r w:rsidRPr="007B79E3">
        <w:rPr>
          <w:rFonts w:cs="Times New Roman"/>
          <w:i/>
          <w:iCs/>
          <w:szCs w:val="24"/>
          <w:lang w:val="fr-CA"/>
        </w:rPr>
        <w:t>sui generis</w:t>
      </w:r>
      <w:r w:rsidRPr="007B79E3">
        <w:rPr>
          <w:rFonts w:cs="Times New Roman"/>
          <w:szCs w:val="24"/>
          <w:lang w:val="fr-CA"/>
        </w:rPr>
        <w:t xml:space="preserve"> (en sollicitant un jugement déclaratoire reconnaissant un titre ancestral) et l’exécution de diverses obligations liées au non</w:t>
      </w:r>
      <w:r w:rsidRPr="007B79E3">
        <w:rPr>
          <w:rFonts w:cs="Times New Roman"/>
          <w:szCs w:val="24"/>
          <w:lang w:val="fr-CA"/>
        </w:rPr>
        <w:noBreakHyphen/>
        <w:t>respect de ce droit (en réclamant des dommages</w:t>
      </w:r>
      <w:r w:rsidRPr="007B79E3">
        <w:rPr>
          <w:rFonts w:cs="Times New Roman"/>
          <w:szCs w:val="24"/>
          <w:lang w:val="fr-CA"/>
        </w:rPr>
        <w:noBreakHyphen/>
        <w:t xml:space="preserve">intérêts pour délit et troubles de voisinage). Il ne s’agit toutefois pas d’une action mixte classique. Contrairement à la définition énoncée dans l’arrêt </w:t>
      </w:r>
      <w:r w:rsidRPr="007B79E3">
        <w:rPr>
          <w:rFonts w:cs="Times New Roman"/>
          <w:i/>
          <w:iCs/>
          <w:szCs w:val="24"/>
          <w:lang w:val="fr-CA"/>
        </w:rPr>
        <w:t>Bern</w:t>
      </w:r>
      <w:r w:rsidRPr="007B79E3">
        <w:rPr>
          <w:rFonts w:cs="Times New Roman"/>
          <w:szCs w:val="24"/>
          <w:lang w:val="fr-CA"/>
        </w:rPr>
        <w:t xml:space="preserve">, la présente action ne concerne pas la reconnaissance d’un droit réel et l’exécution d’obligations. Il s’agit plutôt d’une action mixte qui suppose la reconnaissance de droits </w:t>
      </w:r>
      <w:r w:rsidRPr="007B79E3">
        <w:rPr>
          <w:rFonts w:cs="Times New Roman"/>
          <w:i/>
          <w:iCs/>
          <w:szCs w:val="24"/>
          <w:lang w:val="fr-CA"/>
        </w:rPr>
        <w:t>sui generis</w:t>
      </w:r>
      <w:r w:rsidRPr="007B79E3">
        <w:rPr>
          <w:rFonts w:cs="Times New Roman"/>
          <w:szCs w:val="24"/>
          <w:lang w:val="fr-CA"/>
        </w:rPr>
        <w:t xml:space="preserve"> et l’exécution d’obligations. En d’autres termes, il s’agit d’une action mixte parce qu’elle comporte à la fois un aspect </w:t>
      </w:r>
      <w:r w:rsidRPr="007B79E3">
        <w:rPr>
          <w:rFonts w:cs="Times New Roman"/>
          <w:i/>
          <w:iCs/>
          <w:szCs w:val="24"/>
          <w:lang w:val="fr-CA"/>
        </w:rPr>
        <w:t>sui generis</w:t>
      </w:r>
      <w:r w:rsidRPr="007B79E3">
        <w:rPr>
          <w:rFonts w:cs="Times New Roman"/>
          <w:szCs w:val="24"/>
          <w:lang w:val="fr-CA"/>
        </w:rPr>
        <w:t xml:space="preserve"> et un aspect personnel.</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Pour pouvoir connaître d’une action mixte classique, le tribunal québécois doit nécessairement être compétent </w:t>
      </w:r>
      <w:r w:rsidRPr="007B79E3">
        <w:rPr>
          <w:rFonts w:cs="Times New Roman"/>
          <w:i/>
          <w:szCs w:val="24"/>
          <w:lang w:val="fr-CA"/>
        </w:rPr>
        <w:t>tant</w:t>
      </w:r>
      <w:r w:rsidRPr="007B79E3">
        <w:rPr>
          <w:rFonts w:cs="Times New Roman"/>
          <w:szCs w:val="24"/>
          <w:lang w:val="fr-CA"/>
        </w:rPr>
        <w:t xml:space="preserve"> pour l’action personnelle </w:t>
      </w:r>
      <w:r w:rsidRPr="007B79E3">
        <w:rPr>
          <w:rFonts w:cs="Times New Roman"/>
          <w:i/>
          <w:szCs w:val="24"/>
          <w:lang w:val="fr-CA"/>
        </w:rPr>
        <w:t>que</w:t>
      </w:r>
      <w:r w:rsidRPr="007B79E3">
        <w:rPr>
          <w:rFonts w:cs="Times New Roman"/>
          <w:szCs w:val="24"/>
          <w:lang w:val="fr-CA"/>
        </w:rPr>
        <w:t xml:space="preserve"> pour l’action réelle : </w:t>
      </w:r>
      <w:r w:rsidRPr="007B79E3">
        <w:rPr>
          <w:rFonts w:cs="Times New Roman"/>
          <w:i/>
          <w:szCs w:val="24"/>
          <w:lang w:val="fr-CA"/>
        </w:rPr>
        <w:t>CGAO</w:t>
      </w:r>
      <w:r w:rsidRPr="007B79E3">
        <w:rPr>
          <w:rFonts w:cs="Times New Roman"/>
          <w:szCs w:val="24"/>
          <w:lang w:val="fr-CA"/>
        </w:rPr>
        <w:t>,</w:t>
      </w:r>
      <w:r w:rsidRPr="007B79E3">
        <w:rPr>
          <w:rFonts w:cs="Times New Roman"/>
          <w:i/>
          <w:szCs w:val="24"/>
          <w:lang w:val="fr-CA"/>
        </w:rPr>
        <w:t xml:space="preserve"> </w:t>
      </w:r>
      <w:r w:rsidRPr="007B79E3">
        <w:rPr>
          <w:rFonts w:cs="Times New Roman"/>
          <w:szCs w:val="24"/>
          <w:lang w:val="fr-CA"/>
        </w:rPr>
        <w:t xml:space="preserve">par. 10; </w:t>
      </w:r>
      <w:r w:rsidRPr="007B79E3">
        <w:rPr>
          <w:rFonts w:cs="Times New Roman"/>
          <w:i/>
          <w:szCs w:val="24"/>
          <w:lang w:val="fr-CA"/>
        </w:rPr>
        <w:t>Rapport sur le Code civil du Québec</w:t>
      </w:r>
      <w:r w:rsidRPr="007B79E3">
        <w:rPr>
          <w:rFonts w:cs="Times New Roman"/>
          <w:szCs w:val="24"/>
          <w:lang w:val="fr-CA"/>
        </w:rPr>
        <w:t xml:space="preserve">, p. 1005. Cette règle ne devrait pas être appliquée de façon rigide et absolue dans le contexte d’une action mixte non classique qui comprend la reconnaissance de droits </w:t>
      </w:r>
      <w:r w:rsidRPr="007B79E3">
        <w:rPr>
          <w:rFonts w:cs="Times New Roman"/>
          <w:i/>
          <w:iCs/>
          <w:szCs w:val="24"/>
          <w:lang w:val="fr-CA"/>
        </w:rPr>
        <w:t>sui generis</w:t>
      </w:r>
      <w:r w:rsidRPr="007B79E3">
        <w:rPr>
          <w:rFonts w:cs="Times New Roman"/>
          <w:szCs w:val="24"/>
          <w:lang w:val="fr-CA"/>
        </w:rPr>
        <w:t xml:space="preserve"> et l’exécution d’obligations. Dans ce contexte, il est logique que le tribunal québécois ait compétence à la fois sur l’aspect personnel et sur l’aspect </w:t>
      </w:r>
      <w:r w:rsidRPr="007B79E3">
        <w:rPr>
          <w:rFonts w:cs="Times New Roman"/>
          <w:i/>
          <w:iCs/>
          <w:szCs w:val="24"/>
          <w:lang w:val="fr-CA"/>
        </w:rPr>
        <w:t>sui generis</w:t>
      </w:r>
      <w:r w:rsidRPr="007B79E3">
        <w:rPr>
          <w:rFonts w:cs="Times New Roman"/>
          <w:szCs w:val="24"/>
          <w:lang w:val="fr-CA"/>
        </w:rPr>
        <w:t xml:space="preserve"> de la demande.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En ce qui concerne les aspects personnels de la demande, rappelons que les actions pour délit et pour troubles de voisinage sont généralement qualifiées d’actions personnelles : </w:t>
      </w:r>
      <w:r w:rsidRPr="007B79E3">
        <w:rPr>
          <w:rFonts w:cs="Times New Roman"/>
          <w:i/>
          <w:szCs w:val="24"/>
          <w:lang w:val="fr-CA"/>
        </w:rPr>
        <w:t>Ciment du Saint</w:t>
      </w:r>
      <w:r w:rsidRPr="007B79E3">
        <w:rPr>
          <w:rFonts w:cs="Times New Roman"/>
          <w:i/>
          <w:szCs w:val="24"/>
          <w:lang w:val="fr-CA"/>
        </w:rPr>
        <w:noBreakHyphen/>
        <w:t>Laurent Inc.</w:t>
      </w:r>
      <w:r w:rsidRPr="007B79E3">
        <w:rPr>
          <w:rFonts w:cs="Times New Roman"/>
          <w:szCs w:val="24"/>
          <w:lang w:val="fr-CA"/>
        </w:rPr>
        <w:t xml:space="preserve">, par. 82. L’article 3148 du </w:t>
      </w:r>
      <w:r w:rsidRPr="007B79E3">
        <w:rPr>
          <w:rFonts w:cs="Times New Roman"/>
          <w:i/>
          <w:iCs/>
          <w:szCs w:val="24"/>
          <w:lang w:val="fr-CA"/>
        </w:rPr>
        <w:t>C.c.Q</w:t>
      </w:r>
      <w:r w:rsidRPr="007B79E3">
        <w:rPr>
          <w:rFonts w:cs="Times New Roman"/>
          <w:szCs w:val="24"/>
          <w:lang w:val="fr-CA"/>
        </w:rPr>
        <w:t xml:space="preserve">. confère aux autorités québécoises la compétence d’entendre les actions personnelles à caractère patrimonial lorsque le défendeur a son domicile au Québec. Comme les </w:t>
      </w:r>
      <w:r>
        <w:rPr>
          <w:rFonts w:cs="Times New Roman"/>
          <w:szCs w:val="24"/>
          <w:lang w:val="fr-CA"/>
        </w:rPr>
        <w:t>compagnies</w:t>
      </w:r>
      <w:r w:rsidRPr="007B79E3">
        <w:rPr>
          <w:rFonts w:cs="Times New Roman"/>
          <w:szCs w:val="24"/>
          <w:lang w:val="fr-CA"/>
        </w:rPr>
        <w:t xml:space="preserve"> minières ont toutes les deux leur siège à Montréal, il n’est pas </w:t>
      </w:r>
      <w:r w:rsidRPr="007B79E3">
        <w:rPr>
          <w:rFonts w:cs="Times New Roman"/>
          <w:szCs w:val="24"/>
          <w:lang w:val="fr-CA"/>
        </w:rPr>
        <w:lastRenderedPageBreak/>
        <w:t xml:space="preserve">contesté que les autorités québécoises auraient normalement compétence sur les poursuites intentées contre les </w:t>
      </w:r>
      <w:r>
        <w:rPr>
          <w:rFonts w:cs="Times New Roman"/>
          <w:szCs w:val="24"/>
          <w:lang w:val="fr-CA"/>
        </w:rPr>
        <w:t>compagnies</w:t>
      </w:r>
      <w:r w:rsidRPr="007B79E3">
        <w:rPr>
          <w:rFonts w:cs="Times New Roman"/>
          <w:szCs w:val="24"/>
          <w:lang w:val="fr-CA"/>
        </w:rPr>
        <w:t xml:space="preserve"> minières au titre de l’art. 3148.</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En ce qui concerne les aspects de la demande qui ont trait à la reconnaissance d’un droit </w:t>
      </w:r>
      <w:r w:rsidRPr="007B79E3">
        <w:rPr>
          <w:rFonts w:cs="Times New Roman"/>
          <w:i/>
          <w:iCs/>
          <w:szCs w:val="24"/>
          <w:lang w:val="fr-CA"/>
        </w:rPr>
        <w:t>sui generis</w:t>
      </w:r>
      <w:r w:rsidRPr="007B79E3">
        <w:rPr>
          <w:rFonts w:cs="Times New Roman"/>
          <w:szCs w:val="24"/>
          <w:lang w:val="fr-CA"/>
        </w:rPr>
        <w:t xml:space="preserve">, par exemple un droit garanti par l’art. 35, il appert que le </w:t>
      </w:r>
      <w:r w:rsidRPr="007B79E3">
        <w:rPr>
          <w:rFonts w:cs="Times New Roman"/>
          <w:i/>
          <w:iCs/>
          <w:szCs w:val="24"/>
          <w:lang w:val="fr-CA"/>
        </w:rPr>
        <w:t>Code civil</w:t>
      </w:r>
      <w:r w:rsidRPr="007B79E3">
        <w:rPr>
          <w:rFonts w:cs="Times New Roman"/>
          <w:szCs w:val="24"/>
          <w:lang w:val="fr-CA"/>
        </w:rPr>
        <w:t xml:space="preserve"> est muet quant à la compétence des autorités québécoises en pareil cas. L’article</w:t>
      </w:r>
      <w:r>
        <w:rPr>
          <w:rFonts w:cs="Times New Roman"/>
          <w:szCs w:val="24"/>
          <w:lang w:val="fr-CA"/>
        </w:rPr>
        <w:t xml:space="preserve"> </w:t>
      </w:r>
      <w:r w:rsidRPr="007B79E3">
        <w:rPr>
          <w:rFonts w:cs="Times New Roman"/>
          <w:szCs w:val="24"/>
          <w:lang w:val="fr-CA"/>
        </w:rPr>
        <w:t>3134 dispose que, « [e]n l’absence de disposition particulière, les autorités du Québec sont compétentes lorsque le défendeur a son domicile au Québec ». L</w:t>
      </w:r>
      <w:r>
        <w:rPr>
          <w:rFonts w:cs="Times New Roman"/>
          <w:szCs w:val="24"/>
          <w:lang w:val="fr-CA"/>
        </w:rPr>
        <w:t>es deux compagnies</w:t>
      </w:r>
      <w:r w:rsidRPr="007B79E3">
        <w:rPr>
          <w:rFonts w:cs="Times New Roman"/>
          <w:szCs w:val="24"/>
          <w:lang w:val="fr-CA"/>
        </w:rPr>
        <w:t xml:space="preserve"> minières ont leur siège à Montréal, les autorités québécoises ont donc compétence sur les deux aspects de la présente action mixte non classique.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Pourtant, le procureur général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 xml:space="preserve">Labrador est d’avis que l’art. 3152 exige des tribunaux du Québec qu’ils s’abstiennent d’assumer leur compétence à l’égard de </w:t>
      </w:r>
      <w:r w:rsidRPr="007B79E3">
        <w:rPr>
          <w:rFonts w:cs="Times New Roman"/>
          <w:i/>
          <w:szCs w:val="24"/>
          <w:lang w:val="fr-CA"/>
        </w:rPr>
        <w:t>toutes</w:t>
      </w:r>
      <w:r w:rsidRPr="007B79E3">
        <w:rPr>
          <w:rFonts w:cs="Times New Roman"/>
          <w:szCs w:val="24"/>
          <w:lang w:val="fr-CA"/>
        </w:rPr>
        <w:t xml:space="preserve"> les actions qui visent des biens situés à l’extérieur de la province en raison des aspects réels de la demande mixte. L’article 3152 prévoit que « [l]es autorités québécoises sont compétentes pour connaître d’une action réelle si le bien en litige est situé au Québec ». Or, en l’espèce, nous avons affaire à la situation unique d’une action mixte non classique qui n’a tout simplement pas été envisagée par le </w:t>
      </w:r>
      <w:r w:rsidRPr="007B79E3">
        <w:rPr>
          <w:rFonts w:cs="Times New Roman"/>
          <w:i/>
          <w:iCs/>
          <w:szCs w:val="24"/>
          <w:lang w:val="fr-CA"/>
        </w:rPr>
        <w:t>Code civil</w:t>
      </w:r>
      <w:r w:rsidRPr="007B79E3">
        <w:rPr>
          <w:rFonts w:cs="Times New Roman"/>
          <w:iCs/>
          <w:szCs w:val="24"/>
          <w:lang w:val="fr-CA"/>
        </w:rPr>
        <w:t>. L</w:t>
      </w:r>
      <w:r w:rsidRPr="007B79E3">
        <w:rPr>
          <w:rFonts w:cs="Times New Roman"/>
          <w:szCs w:val="24"/>
          <w:lang w:val="fr-CA"/>
        </w:rPr>
        <w:t xml:space="preserve">es dispositions de ce dernier doivent donc être interprétées en tenant compte à la fois de l’objet des règles qui y sont énoncées en matière de droit international privé et du caractère spécial des droits consacrés par l’art. 35. Il ne serait pas justifié d’interpréter et d’appliquer strictement l’art. 3152 du </w:t>
      </w:r>
      <w:r w:rsidRPr="007B79E3">
        <w:rPr>
          <w:rFonts w:cs="Times New Roman"/>
          <w:i/>
          <w:iCs/>
          <w:szCs w:val="24"/>
          <w:lang w:val="fr-CA"/>
        </w:rPr>
        <w:t>C.c.Q</w:t>
      </w:r>
      <w:r w:rsidRPr="007B79E3">
        <w:rPr>
          <w:rFonts w:cs="Times New Roman"/>
          <w:szCs w:val="24"/>
          <w:lang w:val="fr-CA"/>
        </w:rPr>
        <w:t>. à la présente situation.</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lastRenderedPageBreak/>
        <w:t xml:space="preserve">Il est vrai que le </w:t>
      </w:r>
      <w:r w:rsidRPr="007B79E3">
        <w:rPr>
          <w:rFonts w:cs="Times New Roman"/>
          <w:i/>
          <w:iCs/>
          <w:szCs w:val="24"/>
          <w:lang w:val="fr-CA"/>
        </w:rPr>
        <w:t>Code civil</w:t>
      </w:r>
      <w:r w:rsidRPr="007B79E3">
        <w:rPr>
          <w:rFonts w:cs="Times New Roman"/>
          <w:szCs w:val="24"/>
          <w:lang w:val="fr-CA"/>
        </w:rPr>
        <w:t xml:space="preserve"> ne mentionne que deux exceptions spécifiques à l’art. 3152 — celle en matière de succession (art. 3153) et celle en matière de régime matrimonial ou d’union civile (art. 3154). Le </w:t>
      </w:r>
      <w:r w:rsidRPr="007B79E3">
        <w:rPr>
          <w:rFonts w:cs="Times New Roman"/>
          <w:i/>
          <w:szCs w:val="24"/>
          <w:lang w:val="fr-CA"/>
        </w:rPr>
        <w:t>Code civil</w:t>
      </w:r>
      <w:r w:rsidRPr="007B79E3">
        <w:rPr>
          <w:rFonts w:cs="Times New Roman"/>
          <w:szCs w:val="24"/>
          <w:lang w:val="fr-CA"/>
        </w:rPr>
        <w:t xml:space="preserve"> n’</w:t>
      </w:r>
      <w:r w:rsidRPr="007B79E3">
        <w:rPr>
          <w:rFonts w:cs="Times New Roman"/>
          <w:i/>
          <w:szCs w:val="24"/>
          <w:lang w:val="fr-CA"/>
        </w:rPr>
        <w:t>empêche</w:t>
      </w:r>
      <w:r w:rsidRPr="007B79E3">
        <w:rPr>
          <w:rFonts w:cs="Times New Roman"/>
          <w:szCs w:val="24"/>
          <w:lang w:val="fr-CA"/>
        </w:rPr>
        <w:t xml:space="preserve"> toutefois pas les tribunaux de désigner des actions mixtes non classiques auxquelles l’art. 3152 du </w:t>
      </w:r>
      <w:r w:rsidRPr="007B79E3">
        <w:rPr>
          <w:rFonts w:cs="Times New Roman"/>
          <w:i/>
          <w:iCs/>
          <w:szCs w:val="24"/>
          <w:lang w:val="fr-CA"/>
        </w:rPr>
        <w:t>C.c.Q</w:t>
      </w:r>
      <w:r w:rsidRPr="007B79E3">
        <w:rPr>
          <w:rFonts w:cs="Times New Roman"/>
          <w:szCs w:val="24"/>
          <w:lang w:val="fr-CA"/>
        </w:rPr>
        <w:t xml:space="preserve">. ne s’appliquerait pas. S’agissant de la revendication des Innus, </w:t>
      </w:r>
      <w:proofErr w:type="gramStart"/>
      <w:r w:rsidRPr="007B79E3">
        <w:rPr>
          <w:rFonts w:cs="Times New Roman"/>
          <w:szCs w:val="24"/>
          <w:lang w:val="fr-CA"/>
        </w:rPr>
        <w:t>les art</w:t>
      </w:r>
      <w:proofErr w:type="gramEnd"/>
      <w:r w:rsidRPr="007B79E3">
        <w:rPr>
          <w:rFonts w:cs="Times New Roman"/>
          <w:szCs w:val="24"/>
          <w:lang w:val="fr-CA"/>
        </w:rPr>
        <w:t xml:space="preserve">. 3134 et 3148 du </w:t>
      </w:r>
      <w:r w:rsidRPr="007B79E3">
        <w:rPr>
          <w:rFonts w:cs="Times New Roman"/>
          <w:i/>
          <w:szCs w:val="24"/>
          <w:lang w:val="fr-CA"/>
        </w:rPr>
        <w:t>C.c.Q.</w:t>
      </w:r>
      <w:r w:rsidRPr="007B79E3">
        <w:rPr>
          <w:rFonts w:cs="Times New Roman"/>
          <w:szCs w:val="24"/>
          <w:lang w:val="fr-CA"/>
        </w:rPr>
        <w:t xml:space="preserve"> suffisent pour établir la compétence des autorités québécoises.</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Plus important encore, les objections à ce que les tribunaux du Québec aient compétence sur les droits et titres ancestraux relativement à des territoires situés à l’extérieur des frontières de la province ne résistent pas à l’examen mené à la lumière du contexte constitutionnel unique des revendications du type dont il est question en l’espèce.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La première de ces objections est fondée sur le fait que la loi régissant les biens est généralement celle de l’endroit où le bien est situé. L’article 3152 visait notamment clairement à harmoniser la loi applicable avec la compétence juridictionnelle. Les commentaires du ministre indiquent explicitement que l’art. 3152 a été conçu pour correspondre à l’art. 3097, qui prévoit que « [l]es droits réels ainsi que leur publicité sont régis par la loi du lieu de la situation du bien qui en fait l’objet » : Ministère de la Justice, </w:t>
      </w:r>
      <w:r w:rsidRPr="007B79E3">
        <w:rPr>
          <w:rFonts w:cs="Times New Roman"/>
          <w:i/>
          <w:szCs w:val="24"/>
          <w:lang w:val="fr-CA"/>
        </w:rPr>
        <w:t>Commentaires du ministre de la Justice</w:t>
      </w:r>
      <w:r w:rsidRPr="007B79E3">
        <w:rPr>
          <w:rFonts w:cs="Times New Roman"/>
          <w:szCs w:val="24"/>
          <w:lang w:val="fr-CA"/>
        </w:rPr>
        <w:t>, vol.</w:t>
      </w:r>
      <w:r w:rsidRPr="007B79E3">
        <w:rPr>
          <w:rFonts w:cs="Times New Roman"/>
          <w:i/>
          <w:szCs w:val="24"/>
          <w:lang w:val="fr-CA"/>
        </w:rPr>
        <w:t> </w:t>
      </w:r>
      <w:r w:rsidRPr="007B79E3">
        <w:rPr>
          <w:rFonts w:cs="Times New Roman"/>
          <w:szCs w:val="24"/>
          <w:lang w:val="fr-CA"/>
        </w:rPr>
        <w:t xml:space="preserve">II, </w:t>
      </w:r>
      <w:r w:rsidRPr="007B79E3">
        <w:rPr>
          <w:rFonts w:cs="Times New Roman"/>
          <w:i/>
          <w:szCs w:val="24"/>
          <w:lang w:val="fr-CA"/>
        </w:rPr>
        <w:t>Le Code civil du Québec — Un mouvement de société</w:t>
      </w:r>
      <w:r w:rsidRPr="007B79E3">
        <w:rPr>
          <w:rFonts w:cs="Times New Roman"/>
          <w:szCs w:val="24"/>
          <w:lang w:val="fr-CA"/>
        </w:rPr>
        <w:t xml:space="preserve"> (1993), p. 2012. Comme</w:t>
      </w:r>
      <w:r>
        <w:rPr>
          <w:rFonts w:cs="Times New Roman"/>
          <w:szCs w:val="24"/>
          <w:lang w:val="fr-CA"/>
        </w:rPr>
        <w:t xml:space="preserve"> le par.</w:t>
      </w:r>
      <w:r w:rsidRPr="007B79E3">
        <w:rPr>
          <w:rFonts w:cs="Times New Roman"/>
          <w:szCs w:val="24"/>
          <w:lang w:val="fr-CA"/>
        </w:rPr>
        <w:t xml:space="preserve"> 92(13) de la </w:t>
      </w:r>
      <w:r w:rsidRPr="007B79E3">
        <w:rPr>
          <w:rFonts w:cs="Times New Roman"/>
          <w:i/>
          <w:szCs w:val="24"/>
          <w:lang w:val="fr-CA"/>
        </w:rPr>
        <w:t>Loi constitutionnelle de 1867</w:t>
      </w:r>
      <w:r w:rsidRPr="007B79E3">
        <w:rPr>
          <w:rFonts w:cs="Times New Roman"/>
          <w:szCs w:val="24"/>
          <w:lang w:val="fr-CA"/>
        </w:rPr>
        <w:t xml:space="preserve"> limite la compétence </w:t>
      </w:r>
      <w:r w:rsidRPr="007B79E3">
        <w:rPr>
          <w:rFonts w:cs="Times New Roman"/>
          <w:i/>
          <w:szCs w:val="24"/>
          <w:lang w:val="fr-CA"/>
        </w:rPr>
        <w:t>législative</w:t>
      </w:r>
      <w:r w:rsidRPr="007B79E3">
        <w:rPr>
          <w:rFonts w:cs="Times New Roman"/>
          <w:szCs w:val="24"/>
          <w:lang w:val="fr-CA"/>
        </w:rPr>
        <w:t xml:space="preserve"> du Québec à la propriété dans la province, certains soutiennent que le Québec ne peut pas détenir de compétence </w:t>
      </w:r>
      <w:r w:rsidRPr="007B79E3">
        <w:rPr>
          <w:rFonts w:cs="Times New Roman"/>
          <w:i/>
          <w:szCs w:val="24"/>
          <w:lang w:val="fr-CA"/>
        </w:rPr>
        <w:t>juridictionnelle</w:t>
      </w:r>
      <w:r w:rsidRPr="007B79E3">
        <w:rPr>
          <w:rFonts w:cs="Times New Roman"/>
          <w:szCs w:val="24"/>
          <w:lang w:val="fr-CA"/>
        </w:rPr>
        <w:t xml:space="preserve"> à l’égard de la propriété à l’extérieur de la province. Cet argument ne peut être retenu dans le contexte de l’art.</w:t>
      </w:r>
      <w:r>
        <w:rPr>
          <w:rFonts w:cs="Times New Roman"/>
          <w:szCs w:val="24"/>
          <w:lang w:val="fr-CA"/>
        </w:rPr>
        <w:t> 35 parce que</w:t>
      </w:r>
      <w:r w:rsidRPr="007B79E3">
        <w:rPr>
          <w:rFonts w:cs="Times New Roman"/>
          <w:szCs w:val="24"/>
          <w:lang w:val="fr-CA"/>
        </w:rPr>
        <w:t xml:space="preserve"> les </w:t>
      </w:r>
      <w:r w:rsidRPr="007B79E3">
        <w:rPr>
          <w:rFonts w:cs="Times New Roman"/>
          <w:szCs w:val="24"/>
          <w:lang w:val="fr-CA"/>
        </w:rPr>
        <w:lastRenderedPageBreak/>
        <w:t xml:space="preserve">droits visés par ce dernier sont des droits </w:t>
      </w:r>
      <w:r w:rsidRPr="007B79E3">
        <w:rPr>
          <w:rFonts w:cs="Times New Roman"/>
          <w:i/>
          <w:iCs/>
          <w:szCs w:val="24"/>
          <w:lang w:val="fr-CA"/>
        </w:rPr>
        <w:t>sui generis</w:t>
      </w:r>
      <w:r w:rsidRPr="007B79E3">
        <w:rPr>
          <w:rFonts w:cs="Times New Roman"/>
          <w:szCs w:val="24"/>
          <w:lang w:val="fr-CA"/>
        </w:rPr>
        <w:t xml:space="preserve"> et non des droits réels comme on les conçoit dans l’imaginaire du droit civil : voir Anker, p. 4 et 35</w:t>
      </w:r>
      <w:r w:rsidRPr="007B79E3">
        <w:rPr>
          <w:rFonts w:cs="Times New Roman"/>
          <w:szCs w:val="24"/>
          <w:lang w:val="fr-CA"/>
        </w:rPr>
        <w:noBreakHyphen/>
        <w:t>36.</w:t>
      </w:r>
    </w:p>
    <w:p w:rsidR="00CF3116" w:rsidRPr="007B79E3" w:rsidRDefault="00CF3116" w:rsidP="00CF3116">
      <w:pPr>
        <w:pStyle w:val="ParaNoNdepar-AltN"/>
        <w:tabs>
          <w:tab w:val="clear" w:pos="1152"/>
          <w:tab w:val="left" w:pos="1166"/>
          <w:tab w:val="num" w:pos="1242"/>
        </w:tabs>
        <w:spacing w:before="0"/>
        <w:ind w:left="86"/>
        <w:rPr>
          <w:rFonts w:cs="Times New Roman"/>
          <w:szCs w:val="24"/>
          <w:lang w:val="fr-CA"/>
        </w:rPr>
      </w:pPr>
      <w:r w:rsidRPr="007B79E3">
        <w:rPr>
          <w:rFonts w:cs="Times New Roman"/>
          <w:szCs w:val="24"/>
          <w:lang w:val="fr-CA"/>
        </w:rPr>
        <w:t xml:space="preserve">L’article 35 de la </w:t>
      </w:r>
      <w:r w:rsidRPr="007B79E3">
        <w:rPr>
          <w:rFonts w:cs="Times New Roman"/>
          <w:i/>
          <w:iCs/>
          <w:szCs w:val="24"/>
          <w:lang w:val="fr-CA"/>
        </w:rPr>
        <w:t>Loi constitutionnelle de 1982</w:t>
      </w:r>
      <w:r w:rsidRPr="007B79E3">
        <w:rPr>
          <w:rFonts w:cs="Times New Roman"/>
          <w:szCs w:val="24"/>
          <w:lang w:val="fr-CA"/>
        </w:rPr>
        <w:t xml:space="preserve"> s’applique uniformément partout au Canada. La question de savoir si le droit ancestral ou le droit issu d’un traité revendiqué jouit de la protection constitutionnelle prévue à l’art. 35 </w:t>
      </w:r>
      <w:proofErr w:type="gramStart"/>
      <w:r w:rsidRPr="007B79E3">
        <w:rPr>
          <w:rFonts w:cs="Times New Roman"/>
          <w:szCs w:val="24"/>
          <w:lang w:val="fr-CA"/>
        </w:rPr>
        <w:t>relève</w:t>
      </w:r>
      <w:proofErr w:type="gramEnd"/>
      <w:r w:rsidRPr="007B79E3">
        <w:rPr>
          <w:rFonts w:cs="Times New Roman"/>
          <w:szCs w:val="24"/>
          <w:lang w:val="fr-CA"/>
        </w:rPr>
        <w:t xml:space="preserve"> du droit constitutionnel et non du droit fédéral ou du droit provincial. La Cour a explicitement rejeté, en ce qui concerne le titre ancestral et les autres droits ancestraux, une approche province par province qui « entraînerait la création, à la grandeur du pays, d’un ensemble de mesures disparates de protection constitutionnelle des droits ancestraux, mesures qui seraient fonction des particularités historiques de la colonisation dans les diverses régions</w:t>
      </w:r>
      <w:r w:rsidRPr="007B79E3">
        <w:rPr>
          <w:rFonts w:cs="Times New Roman"/>
          <w:szCs w:val="24"/>
          <w:lang w:val="fr-FR"/>
        </w:rPr>
        <w:t> </w:t>
      </w:r>
      <w:r w:rsidRPr="007B79E3">
        <w:rPr>
          <w:rFonts w:cs="Times New Roman"/>
          <w:szCs w:val="24"/>
          <w:lang w:val="fr-CA"/>
        </w:rPr>
        <w:t xml:space="preserve">» : </w:t>
      </w:r>
      <w:r w:rsidRPr="007B79E3">
        <w:rPr>
          <w:rFonts w:cs="Times New Roman"/>
          <w:i/>
          <w:szCs w:val="24"/>
          <w:lang w:val="fr-CA"/>
        </w:rPr>
        <w:t>R. c. Côté</w:t>
      </w:r>
      <w:r w:rsidRPr="007B79E3">
        <w:rPr>
          <w:rFonts w:cs="Times New Roman"/>
          <w:szCs w:val="24"/>
          <w:lang w:val="fr-CA"/>
        </w:rPr>
        <w:t>, [1996] 3 R.C.S. 139, par. 53. Ni l’art</w:t>
      </w:r>
      <w:r>
        <w:rPr>
          <w:rFonts w:cs="Times New Roman"/>
          <w:szCs w:val="24"/>
          <w:lang w:val="fr-CA"/>
        </w:rPr>
        <w:t>. </w:t>
      </w:r>
      <w:r w:rsidRPr="007B79E3">
        <w:rPr>
          <w:rFonts w:cs="Times New Roman"/>
          <w:szCs w:val="24"/>
          <w:lang w:val="fr-CA"/>
        </w:rPr>
        <w:t>35 ni le droit constitutionnel plus généralement ne sont étrangers au Québec ou à ses tribunaux.</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Ces considérations revêtent une importance particulière lorsqu’on tient également compte du fait que la revendication des Innus concerne une réalité antérieure à l’établissement des frontières provinciales, à la compétence législative provinciale correspondante à l’égard de la propriété et des droits civils, ainsi qu’aux systèmes de droit des biens qui en découlent. Même si les provinces n’ont pas de compétence </w:t>
      </w:r>
      <w:r w:rsidRPr="007B79E3">
        <w:rPr>
          <w:rFonts w:cs="Times New Roman"/>
          <w:i/>
          <w:szCs w:val="24"/>
          <w:lang w:val="fr-CA"/>
        </w:rPr>
        <w:t>législative</w:t>
      </w:r>
      <w:r w:rsidRPr="007B79E3">
        <w:rPr>
          <w:rFonts w:cs="Times New Roman"/>
          <w:szCs w:val="24"/>
          <w:lang w:val="fr-CA"/>
        </w:rPr>
        <w:t xml:space="preserve"> à l’égard des droits garantis par l’art.</w:t>
      </w:r>
      <w:r>
        <w:rPr>
          <w:rFonts w:cs="Times New Roman"/>
          <w:szCs w:val="24"/>
          <w:lang w:val="fr-CA"/>
        </w:rPr>
        <w:t> 35, leurs tribunaux</w:t>
      </w:r>
      <w:r w:rsidRPr="007B79E3">
        <w:rPr>
          <w:rFonts w:cs="Times New Roman"/>
          <w:szCs w:val="24"/>
          <w:lang w:val="fr-CA"/>
        </w:rPr>
        <w:t xml:space="preserve"> instruisent certainement ce type d’affaires.</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La province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 xml:space="preserve">Labrador a sans aucun doute un intérêt marqué et légitime à participer à cette instance. Les tribunaux qui ont été saisis de cette dernière l’ont d’ailleurs reconnu : motifs de la C.S., par. 14; motifs de la C.A., par. 104 </w:t>
      </w:r>
      <w:r w:rsidR="0065691B">
        <w:rPr>
          <w:rFonts w:cs="Times New Roman"/>
          <w:szCs w:val="24"/>
          <w:lang w:val="fr-CA"/>
        </w:rPr>
        <w:lastRenderedPageBreak/>
        <w:t xml:space="preserve">et </w:t>
      </w:r>
      <w:proofErr w:type="gramStart"/>
      <w:r w:rsidR="0065691B">
        <w:rPr>
          <w:rFonts w:cs="Times New Roman"/>
          <w:szCs w:val="24"/>
          <w:lang w:val="fr-CA"/>
        </w:rPr>
        <w:t>suiv</w:t>
      </w:r>
      <w:r w:rsidRPr="007B79E3">
        <w:rPr>
          <w:rFonts w:cs="Times New Roman"/>
          <w:szCs w:val="24"/>
          <w:lang w:val="fr-CA"/>
        </w:rPr>
        <w:t>.;</w:t>
      </w:r>
      <w:proofErr w:type="gramEnd"/>
      <w:r w:rsidRPr="007B79E3">
        <w:rPr>
          <w:rFonts w:cs="Times New Roman"/>
          <w:szCs w:val="24"/>
          <w:lang w:val="fr-CA"/>
        </w:rPr>
        <w:t xml:space="preserve"> </w:t>
      </w:r>
      <w:r w:rsidRPr="007B79E3">
        <w:rPr>
          <w:rFonts w:cs="Times New Roman"/>
          <w:i/>
          <w:szCs w:val="24"/>
          <w:lang w:val="fr-CA"/>
        </w:rPr>
        <w:t>Innus de Uashat et de Mani</w:t>
      </w:r>
      <w:r w:rsidRPr="007B79E3">
        <w:rPr>
          <w:rFonts w:cs="Times New Roman"/>
          <w:i/>
          <w:szCs w:val="24"/>
          <w:lang w:val="fr-CA"/>
        </w:rPr>
        <w:noBreakHyphen/>
        <w:t>Utenam c. Iron Ore Company of Canada</w:t>
      </w:r>
      <w:r w:rsidRPr="007B79E3">
        <w:rPr>
          <w:rFonts w:cs="Times New Roman"/>
          <w:szCs w:val="24"/>
          <w:lang w:val="fr-CA"/>
        </w:rPr>
        <w:t>, 2016 QCCS 1</w:t>
      </w:r>
      <w:r w:rsidR="00875DC0">
        <w:rPr>
          <w:rFonts w:cs="Times New Roman"/>
          <w:szCs w:val="24"/>
          <w:lang w:val="fr-CA"/>
        </w:rPr>
        <w:t>958, par. 63 et suiv</w:t>
      </w:r>
      <w:r w:rsidRPr="007B79E3">
        <w:rPr>
          <w:rFonts w:cs="Times New Roman"/>
          <w:szCs w:val="24"/>
          <w:lang w:val="fr-CA"/>
        </w:rPr>
        <w:t xml:space="preserve">. D’après le dossier dont nous disposons, rien ne permet à la Cour de déterminer quelles parties de la demande concernent des terres privées ou des terres appartenant à la Couronne, ni même quelle partie du territoire en cause est située dans chacune des provinces. À notre avis, ce ne sont pas des considérations à prendre en compte pour déterminer </w:t>
      </w:r>
      <w:r w:rsidRPr="007B79E3">
        <w:rPr>
          <w:rFonts w:cs="Times New Roman"/>
          <w:i/>
          <w:szCs w:val="24"/>
          <w:lang w:val="fr-CA"/>
        </w:rPr>
        <w:t>si</w:t>
      </w:r>
      <w:r w:rsidRPr="007B79E3">
        <w:rPr>
          <w:rFonts w:cs="Times New Roman"/>
          <w:szCs w:val="24"/>
          <w:lang w:val="fr-CA"/>
        </w:rPr>
        <w:t xml:space="preserve"> les tribunaux du Québec ont compétence à l’égard de l’action, même si elles pourraient avoir une incidence lorsqu’il s’agira de décider si les tribunaux québécois devraient décliner cette compétence.</w:t>
      </w:r>
      <w:r>
        <w:rPr>
          <w:rFonts w:cs="Times New Roman"/>
          <w:szCs w:val="24"/>
          <w:lang w:val="fr-CA"/>
        </w:rPr>
        <w:t xml:space="preserve"> Bien que le juge des requêtes </w:t>
      </w:r>
      <w:r w:rsidRPr="007B79E3">
        <w:rPr>
          <w:rFonts w:cs="Times New Roman"/>
          <w:szCs w:val="24"/>
          <w:lang w:val="fr-CA"/>
        </w:rPr>
        <w:t xml:space="preserve">ait refusé de décliner sa compétence en l’espèce en application du principe du </w:t>
      </w:r>
      <w:r w:rsidRPr="007B79E3">
        <w:rPr>
          <w:rFonts w:cs="Times New Roman"/>
          <w:i/>
          <w:iCs/>
          <w:szCs w:val="24"/>
          <w:lang w:val="fr-CA"/>
        </w:rPr>
        <w:t>forum non conveniens</w:t>
      </w:r>
      <w:r w:rsidRPr="007B79E3">
        <w:rPr>
          <w:rFonts w:cs="Times New Roman"/>
          <w:szCs w:val="24"/>
          <w:lang w:val="fr-CA"/>
        </w:rPr>
        <w:t xml:space="preserve">, cette question n’a été ni portée en appel devant la Cour d’appel ni soulevée devant la Cour. Sous le régime du </w:t>
      </w:r>
      <w:r w:rsidRPr="007B79E3">
        <w:rPr>
          <w:rFonts w:cs="Times New Roman"/>
          <w:i/>
          <w:iCs/>
          <w:szCs w:val="24"/>
          <w:lang w:val="fr-CA"/>
        </w:rPr>
        <w:t>Code civil</w:t>
      </w:r>
      <w:r w:rsidRPr="007B79E3">
        <w:rPr>
          <w:rFonts w:cs="Times New Roman"/>
          <w:szCs w:val="24"/>
          <w:lang w:val="fr-CA"/>
        </w:rPr>
        <w:t>, cette question ne peut être soulevée par la Cour de son propre chef.</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D’ailleurs, comme les parties ont mis l’accent sur la question de la compétence des tribunaux du Québec à l’égard de ce litige, le juge de</w:t>
      </w:r>
      <w:r>
        <w:rPr>
          <w:rFonts w:cs="Times New Roman"/>
          <w:szCs w:val="24"/>
          <w:lang w:val="fr-CA"/>
        </w:rPr>
        <w:t>s requêtes</w:t>
      </w:r>
      <w:r w:rsidRPr="007B79E3">
        <w:rPr>
          <w:rFonts w:cs="Times New Roman"/>
          <w:szCs w:val="24"/>
          <w:lang w:val="fr-CA"/>
        </w:rPr>
        <w:t xml:space="preserve"> et la Cour d’appel ont analysé le dossier en vue de répondre à cette question. Nous avons conclu, tout comme eux, que les autorités du Québec ont effectivement compétence à l’égard de </w:t>
      </w:r>
      <w:r>
        <w:rPr>
          <w:rFonts w:cs="Times New Roman"/>
          <w:szCs w:val="24"/>
          <w:lang w:val="fr-CA"/>
        </w:rPr>
        <w:t xml:space="preserve">l’ensemble de </w:t>
      </w:r>
      <w:r w:rsidRPr="007B79E3">
        <w:rPr>
          <w:rFonts w:cs="Times New Roman"/>
          <w:szCs w:val="24"/>
          <w:lang w:val="fr-CA"/>
        </w:rPr>
        <w:t>l</w:t>
      </w:r>
      <w:r w:rsidR="0019745F">
        <w:rPr>
          <w:rFonts w:cs="Times New Roman"/>
          <w:szCs w:val="24"/>
          <w:lang w:val="fr-CA"/>
        </w:rPr>
        <w:t>’action. Certes, selon l’art.</w:t>
      </w:r>
      <w:r w:rsidRPr="007B79E3">
        <w:rPr>
          <w:rFonts w:cs="Times New Roman"/>
          <w:szCs w:val="24"/>
          <w:lang w:val="fr-CA"/>
        </w:rPr>
        <w:t xml:space="preserve"> 3135 du </w:t>
      </w:r>
      <w:r w:rsidRPr="007B79E3">
        <w:rPr>
          <w:rFonts w:cs="Times New Roman"/>
          <w:i/>
          <w:szCs w:val="24"/>
          <w:lang w:val="fr-CA"/>
        </w:rPr>
        <w:t>C.c.Q.</w:t>
      </w:r>
      <w:r w:rsidRPr="007B79E3">
        <w:rPr>
          <w:rFonts w:cs="Times New Roman"/>
          <w:szCs w:val="24"/>
          <w:lang w:val="fr-CA"/>
        </w:rPr>
        <w:t xml:space="preserve">, même si une autorité québécoise est compétente pour connaître d’un litige, elle peut, </w:t>
      </w:r>
      <w:r w:rsidRPr="007B79E3">
        <w:rPr>
          <w:rFonts w:cs="Times New Roman"/>
          <w:i/>
          <w:szCs w:val="24"/>
          <w:lang w:val="fr-CA"/>
        </w:rPr>
        <w:t>exceptionnellement</w:t>
      </w:r>
      <w:r w:rsidRPr="007B79E3">
        <w:rPr>
          <w:rFonts w:cs="Times New Roman"/>
          <w:szCs w:val="24"/>
          <w:lang w:val="fr-CA"/>
        </w:rPr>
        <w:t>, et uniquement à la demande d’une partie, décliner cette compétence si elle estime que les autorités d’un autre État sont mieux à même de trancher le litige.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Comme la Cour l’a déclaré dans l’arrêt </w:t>
      </w:r>
      <w:r w:rsidRPr="007B79E3">
        <w:rPr>
          <w:rFonts w:cs="Times New Roman"/>
          <w:i/>
          <w:szCs w:val="24"/>
          <w:lang w:val="fr-CA"/>
        </w:rPr>
        <w:t>Spar Aerospace </w:t>
      </w:r>
      <w:r w:rsidRPr="007B79E3">
        <w:rPr>
          <w:rFonts w:cs="Times New Roman"/>
          <w:szCs w:val="24"/>
          <w:lang w:val="fr-CA"/>
        </w:rPr>
        <w:t>:</w:t>
      </w:r>
    </w:p>
    <w:p w:rsidR="00CF3116" w:rsidRPr="007B79E3" w:rsidRDefault="00CF3116" w:rsidP="00CF3116">
      <w:pPr>
        <w:pStyle w:val="Citation-AltC"/>
        <w:tabs>
          <w:tab w:val="left" w:pos="1800"/>
        </w:tabs>
        <w:ind w:hanging="1166"/>
        <w:contextualSpacing w:val="0"/>
        <w:rPr>
          <w:lang w:val="fr-CA"/>
        </w:rPr>
      </w:pPr>
      <w:r w:rsidRPr="007B79E3">
        <w:rPr>
          <w:lang w:val="fr-CA"/>
        </w:rPr>
        <w:lastRenderedPageBreak/>
        <w:tab/>
        <w:t xml:space="preserve">. . . la doctrine du </w:t>
      </w:r>
      <w:r w:rsidRPr="007B79E3">
        <w:rPr>
          <w:i/>
          <w:lang w:val="fr-CA"/>
        </w:rPr>
        <w:t>forum non conveniens</w:t>
      </w:r>
      <w:r w:rsidRPr="007B79E3">
        <w:rPr>
          <w:lang w:val="fr-CA"/>
        </w:rPr>
        <w:t>, tel</w:t>
      </w:r>
      <w:r>
        <w:rPr>
          <w:lang w:val="fr-CA"/>
        </w:rPr>
        <w:t>le</w:t>
      </w:r>
      <w:r w:rsidRPr="007B79E3">
        <w:rPr>
          <w:lang w:val="fr-CA"/>
        </w:rPr>
        <w:t xml:space="preserve"> que codifié</w:t>
      </w:r>
      <w:r>
        <w:rPr>
          <w:lang w:val="fr-CA"/>
        </w:rPr>
        <w:t>e</w:t>
      </w:r>
      <w:r w:rsidRPr="007B79E3">
        <w:rPr>
          <w:lang w:val="fr-CA"/>
        </w:rPr>
        <w:t xml:space="preserve"> à l’art. 3135, constitue un contrepoids important à la large assise </w:t>
      </w:r>
      <w:r w:rsidRPr="007B79E3">
        <w:rPr>
          <w:shd w:val="clear" w:color="auto" w:fill="FFFFFF"/>
          <w:lang w:val="fr-CA"/>
        </w:rPr>
        <w:t>juridictionnelle</w:t>
      </w:r>
      <w:r w:rsidRPr="007B79E3">
        <w:rPr>
          <w:lang w:val="fr-CA"/>
        </w:rPr>
        <w:t xml:space="preserve"> prévue à l’art. 3148. Ainsi, les appelantes peuvent démontrer, en conformité avec l’art. 3135, que malgré l’existence d’un lien avec les autorités du Québec, il y a un autre tribunal qui, dans l’intérêt de la justice, est mieux à même d’exercer sa compétence. [</w:t>
      </w:r>
      <w:proofErr w:type="gramStart"/>
      <w:r w:rsidRPr="007B79E3">
        <w:rPr>
          <w:lang w:val="fr-CA"/>
        </w:rPr>
        <w:t>par</w:t>
      </w:r>
      <w:proofErr w:type="gramEnd"/>
      <w:r w:rsidRPr="007B79E3">
        <w:rPr>
          <w:lang w:val="fr-CA"/>
        </w:rPr>
        <w:t>. 57]</w:t>
      </w:r>
    </w:p>
    <w:p w:rsidR="00CF3116" w:rsidRPr="007B79E3" w:rsidRDefault="00CF3116" w:rsidP="00CF3116">
      <w:pPr>
        <w:pStyle w:val="ParaNoNdepar-AltN"/>
        <w:numPr>
          <w:ilvl w:val="0"/>
          <w:numId w:val="0"/>
        </w:numPr>
        <w:spacing w:before="0"/>
        <w:rPr>
          <w:rFonts w:cs="Times New Roman"/>
          <w:szCs w:val="24"/>
          <w:lang w:val="fr-CA"/>
        </w:rPr>
      </w:pPr>
      <w:r w:rsidRPr="007B79E3">
        <w:rPr>
          <w:rFonts w:cs="Times New Roman"/>
          <w:szCs w:val="24"/>
          <w:lang w:val="fr-CA"/>
        </w:rPr>
        <w:t>Voici quelques</w:t>
      </w:r>
      <w:r w:rsidRPr="007B79E3">
        <w:rPr>
          <w:rFonts w:cs="Times New Roman"/>
          <w:szCs w:val="24"/>
          <w:lang w:val="fr-CA"/>
        </w:rPr>
        <w:noBreakHyphen/>
        <w:t xml:space="preserve">uns des facteurs habituellement pris en considération à l’étape de l’évaluation de la doctrine du </w:t>
      </w:r>
      <w:r w:rsidRPr="007B79E3">
        <w:rPr>
          <w:rFonts w:cs="Times New Roman"/>
          <w:i/>
          <w:szCs w:val="24"/>
          <w:lang w:val="fr-CA"/>
        </w:rPr>
        <w:t>forum non conveniens</w:t>
      </w:r>
      <w:r w:rsidRPr="007B79E3">
        <w:rPr>
          <w:rFonts w:cs="Times New Roman"/>
          <w:szCs w:val="24"/>
          <w:lang w:val="fr-CA"/>
        </w:rPr>
        <w:t> :</w:t>
      </w:r>
    </w:p>
    <w:p w:rsidR="00CF3116" w:rsidRPr="007B79E3" w:rsidRDefault="00CF3116" w:rsidP="00CF3116">
      <w:pPr>
        <w:pStyle w:val="Citation-AltC"/>
        <w:numPr>
          <w:ilvl w:val="0"/>
          <w:numId w:val="18"/>
        </w:numPr>
        <w:tabs>
          <w:tab w:val="left" w:pos="1170"/>
        </w:tabs>
        <w:spacing w:after="240"/>
        <w:ind w:left="1620" w:hanging="450"/>
        <w:contextualSpacing w:val="0"/>
        <w:rPr>
          <w:lang w:val="fr-CA"/>
        </w:rPr>
      </w:pPr>
      <w:r w:rsidRPr="007B79E3">
        <w:rPr>
          <w:lang w:val="fr-CA"/>
        </w:rPr>
        <w:t>le lieu de résidence des parties et des témoins ordinaires et experts;</w:t>
      </w:r>
    </w:p>
    <w:p w:rsidR="00CF3116" w:rsidRPr="007B79E3" w:rsidRDefault="00CF3116" w:rsidP="00CF3116">
      <w:pPr>
        <w:pStyle w:val="Citation-AltC"/>
        <w:numPr>
          <w:ilvl w:val="0"/>
          <w:numId w:val="18"/>
        </w:numPr>
        <w:spacing w:after="240"/>
        <w:ind w:left="1620" w:hanging="450"/>
        <w:contextualSpacing w:val="0"/>
        <w:rPr>
          <w:lang w:val="fr-CA"/>
        </w:rPr>
      </w:pPr>
      <w:r w:rsidRPr="007B79E3">
        <w:rPr>
          <w:lang w:val="fr-CA"/>
        </w:rPr>
        <w:t>la situation des éléments de preuve;</w:t>
      </w:r>
    </w:p>
    <w:p w:rsidR="00CF3116" w:rsidRPr="007B79E3" w:rsidRDefault="00CF3116" w:rsidP="00CF3116">
      <w:pPr>
        <w:pStyle w:val="Citation-AltC"/>
        <w:numPr>
          <w:ilvl w:val="0"/>
          <w:numId w:val="18"/>
        </w:numPr>
        <w:spacing w:after="240"/>
        <w:ind w:left="1620" w:hanging="450"/>
        <w:contextualSpacing w:val="0"/>
        <w:rPr>
          <w:lang w:val="fr-CA"/>
        </w:rPr>
      </w:pPr>
      <w:r w:rsidRPr="007B79E3">
        <w:rPr>
          <w:lang w:val="fr-CA"/>
        </w:rPr>
        <w:t>le lieu de formation et d’exécution du contrat;</w:t>
      </w:r>
    </w:p>
    <w:p w:rsidR="00CF3116" w:rsidRPr="007B79E3" w:rsidRDefault="00CF3116" w:rsidP="00CF3116">
      <w:pPr>
        <w:pStyle w:val="Citation-AltC"/>
        <w:numPr>
          <w:ilvl w:val="0"/>
          <w:numId w:val="18"/>
        </w:numPr>
        <w:spacing w:after="240"/>
        <w:ind w:left="1620" w:hanging="454"/>
        <w:contextualSpacing w:val="0"/>
        <w:rPr>
          <w:lang w:val="fr-CA"/>
        </w:rPr>
      </w:pPr>
      <w:r w:rsidRPr="007B79E3">
        <w:rPr>
          <w:lang w:val="fr-CA"/>
        </w:rPr>
        <w:t>l’existence d’une autre action intentée à l’étranger;</w:t>
      </w:r>
    </w:p>
    <w:p w:rsidR="00CF3116" w:rsidRPr="007B79E3" w:rsidRDefault="00CF3116" w:rsidP="00CF3116">
      <w:pPr>
        <w:pStyle w:val="Citation-AltC"/>
        <w:numPr>
          <w:ilvl w:val="0"/>
          <w:numId w:val="18"/>
        </w:numPr>
        <w:spacing w:after="240"/>
        <w:ind w:left="1620" w:hanging="454"/>
        <w:contextualSpacing w:val="0"/>
        <w:rPr>
          <w:lang w:val="fr-CA"/>
        </w:rPr>
      </w:pPr>
      <w:r w:rsidRPr="007B79E3">
        <w:rPr>
          <w:lang w:val="fr-CA"/>
        </w:rPr>
        <w:t>la situation des biens appartenant au défendeur;</w:t>
      </w:r>
    </w:p>
    <w:p w:rsidR="00CF3116" w:rsidRPr="007B79E3" w:rsidRDefault="00CF3116" w:rsidP="00CF3116">
      <w:pPr>
        <w:pStyle w:val="Citation-AltC"/>
        <w:numPr>
          <w:ilvl w:val="0"/>
          <w:numId w:val="18"/>
        </w:numPr>
        <w:spacing w:after="240"/>
        <w:ind w:left="1620" w:hanging="454"/>
        <w:contextualSpacing w:val="0"/>
        <w:rPr>
          <w:lang w:val="fr-CA"/>
        </w:rPr>
      </w:pPr>
      <w:r w:rsidRPr="007B79E3">
        <w:rPr>
          <w:lang w:val="fr-CA"/>
        </w:rPr>
        <w:t>la loi applicable au litige;</w:t>
      </w:r>
    </w:p>
    <w:p w:rsidR="00CF3116" w:rsidRPr="007B79E3" w:rsidRDefault="00CF3116" w:rsidP="00CF3116">
      <w:pPr>
        <w:pStyle w:val="Citation-AltC"/>
        <w:numPr>
          <w:ilvl w:val="0"/>
          <w:numId w:val="18"/>
        </w:numPr>
        <w:spacing w:after="240"/>
        <w:ind w:left="1620" w:hanging="454"/>
        <w:contextualSpacing w:val="0"/>
        <w:rPr>
          <w:lang w:val="fr-CA"/>
        </w:rPr>
      </w:pPr>
      <w:r w:rsidRPr="007B79E3">
        <w:rPr>
          <w:lang w:val="fr-CA"/>
        </w:rPr>
        <w:t>l’avantage dont jouit la demanderesse dans le for choisi;</w:t>
      </w:r>
    </w:p>
    <w:p w:rsidR="00CF3116" w:rsidRPr="007B79E3" w:rsidRDefault="00CF3116" w:rsidP="00CF3116">
      <w:pPr>
        <w:pStyle w:val="Citation-AltC"/>
        <w:numPr>
          <w:ilvl w:val="0"/>
          <w:numId w:val="18"/>
        </w:numPr>
        <w:spacing w:after="240"/>
        <w:ind w:left="1620" w:hanging="454"/>
        <w:contextualSpacing w:val="0"/>
        <w:rPr>
          <w:lang w:val="fr-CA"/>
        </w:rPr>
      </w:pPr>
      <w:r w:rsidRPr="007B79E3">
        <w:rPr>
          <w:lang w:val="fr-CA"/>
        </w:rPr>
        <w:t>l’intérêt de la justice;</w:t>
      </w:r>
    </w:p>
    <w:p w:rsidR="00CF3116" w:rsidRPr="007B79E3" w:rsidRDefault="00CF3116" w:rsidP="00CF3116">
      <w:pPr>
        <w:pStyle w:val="Citation-AltC"/>
        <w:numPr>
          <w:ilvl w:val="0"/>
          <w:numId w:val="18"/>
        </w:numPr>
        <w:spacing w:after="240"/>
        <w:ind w:left="1620" w:hanging="454"/>
        <w:contextualSpacing w:val="0"/>
        <w:rPr>
          <w:lang w:val="fr-CA"/>
        </w:rPr>
      </w:pPr>
      <w:r w:rsidRPr="007B79E3">
        <w:rPr>
          <w:lang w:val="fr-CA"/>
        </w:rPr>
        <w:t>l’intérêt des deux parties;</w:t>
      </w:r>
    </w:p>
    <w:p w:rsidR="00CF3116" w:rsidRPr="007B79E3" w:rsidRDefault="00CF3116" w:rsidP="00CF3116">
      <w:pPr>
        <w:pStyle w:val="Citation-AltC"/>
        <w:numPr>
          <w:ilvl w:val="0"/>
          <w:numId w:val="18"/>
        </w:numPr>
        <w:spacing w:after="240"/>
        <w:ind w:left="1620" w:hanging="454"/>
        <w:contextualSpacing w:val="0"/>
        <w:rPr>
          <w:lang w:val="fr-CA"/>
        </w:rPr>
      </w:pPr>
      <w:r w:rsidRPr="007B79E3">
        <w:rPr>
          <w:lang w:val="fr-CA"/>
        </w:rPr>
        <w:t>la nécessité éventuelle d’une procédure en exemplification à l’étranger. [par. 71]</w:t>
      </w:r>
    </w:p>
    <w:p w:rsidR="00CF3116" w:rsidRPr="007B79E3" w:rsidRDefault="00CF3116" w:rsidP="00875DC0">
      <w:pPr>
        <w:pStyle w:val="Citation-AltC"/>
        <w:ind w:left="0"/>
        <w:contextualSpacing w:val="0"/>
        <w:rPr>
          <w:lang w:val="fr-CA"/>
        </w:rPr>
      </w:pPr>
      <w:r w:rsidRPr="007B79E3">
        <w:rPr>
          <w:lang w:val="fr-CA"/>
        </w:rPr>
        <w:t>(</w:t>
      </w:r>
      <w:proofErr w:type="gramStart"/>
      <w:r w:rsidRPr="007B79E3">
        <w:rPr>
          <w:lang w:val="fr-CA"/>
        </w:rPr>
        <w:t>voir</w:t>
      </w:r>
      <w:proofErr w:type="gramEnd"/>
      <w:r w:rsidRPr="007B79E3">
        <w:rPr>
          <w:lang w:val="fr-CA"/>
        </w:rPr>
        <w:t xml:space="preserve"> aussi </w:t>
      </w:r>
      <w:r w:rsidRPr="007B79E3">
        <w:rPr>
          <w:i/>
          <w:lang w:val="fr-CA"/>
        </w:rPr>
        <w:t>Oppenheim forfait GMBH c. Lexus maritime inc</w:t>
      </w:r>
      <w:r w:rsidRPr="007B79E3">
        <w:rPr>
          <w:lang w:val="fr-CA"/>
        </w:rPr>
        <w:t>, 1998 CanLII 13001 (C.A.</w:t>
      </w:r>
      <w:r w:rsidR="0065691B">
        <w:rPr>
          <w:lang w:val="fr-CA"/>
        </w:rPr>
        <w:t xml:space="preserve"> Qc</w:t>
      </w:r>
      <w:r w:rsidRPr="007B79E3">
        <w:rPr>
          <w:lang w:val="fr-CA"/>
        </w:rPr>
        <w:t>))</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Dans le cas particulier d’une action fondée sur l’art. 35 dont l’objet chevauche les frontières qui séparent plusieurs provinces, les facteurs 6 à 10 peuvent requérir une attention particulière. Comme le procureur général du Canada l’a souligné dans son intervention, parmi les considérations qui peuvent être pertinentes à cette étape, il y a lieu de mentionner, par exemple, la question de savoir si les droits ancestraux revendiqués sont liés au territoire en cause et, le cas échéant, si la majeure </w:t>
      </w:r>
      <w:r w:rsidRPr="007B79E3">
        <w:rPr>
          <w:rFonts w:cs="Times New Roman"/>
          <w:szCs w:val="24"/>
          <w:lang w:val="fr-CA"/>
        </w:rPr>
        <w:lastRenderedPageBreak/>
        <w:t>partie de ce territoire se trouve à l’intérieur des frontières territoriales de la province, la portée des revendications de titres ancestraux et l’intérêt de la Couronne d’une autre province à participer au litige afin de présenter des éléments de preuve et des arguments sur la portée des droits garantis par l’art. 35. Nous tenons également à souligner que les tribunaux des deux provinces appliqueraient probablement les mêmes règles de droit — à savoir les règles de droit constitutionnel — pour déterminer si les Innus ont établi le bien</w:t>
      </w:r>
      <w:r w:rsidRPr="007B79E3">
        <w:rPr>
          <w:rFonts w:cs="Times New Roman"/>
          <w:szCs w:val="24"/>
          <w:lang w:val="fr-CA"/>
        </w:rPr>
        <w:noBreakHyphen/>
        <w:t>fondé de leur revendication de titre et de droits ancestraux.</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 xml:space="preserve">En l’espèce, le </w:t>
      </w:r>
      <w:r>
        <w:rPr>
          <w:rFonts w:cs="Times New Roman"/>
          <w:szCs w:val="24"/>
          <w:lang w:val="fr-CA"/>
        </w:rPr>
        <w:t xml:space="preserve">juge des requêtes </w:t>
      </w:r>
      <w:r w:rsidRPr="007B79E3">
        <w:rPr>
          <w:rFonts w:cs="Times New Roman"/>
          <w:szCs w:val="24"/>
          <w:lang w:val="fr-CA"/>
        </w:rPr>
        <w:t xml:space="preserve">a examiné plusieurs de ces facteurs, faisant observer que, dans l’ensemble, leur application ne militait pas pour qu’il décline sa compétence, et ajoutant qu’il n’y avait pas lieu d’appliquer la doctrine du </w:t>
      </w:r>
      <w:r w:rsidRPr="007B79E3">
        <w:rPr>
          <w:rFonts w:cs="Times New Roman"/>
          <w:i/>
          <w:iCs/>
          <w:szCs w:val="24"/>
          <w:lang w:val="fr-CA"/>
        </w:rPr>
        <w:t>forum non conveniens</w:t>
      </w:r>
      <w:r w:rsidRPr="007B79E3">
        <w:rPr>
          <w:rFonts w:cs="Times New Roman"/>
          <w:szCs w:val="24"/>
          <w:lang w:val="fr-CA"/>
        </w:rPr>
        <w:t> : par. 104</w:t>
      </w:r>
      <w:r w:rsidRPr="007B79E3">
        <w:rPr>
          <w:rFonts w:cs="Times New Roman"/>
          <w:szCs w:val="24"/>
          <w:lang w:val="fr-CA"/>
        </w:rPr>
        <w:noBreakHyphen/>
        <w:t>110. Or, comme nous l’avons déjà précisé, cette conclusion n’a été portée en appel ni devant la Cour d’appel ni devant la Cour. En conséquence, nous ne voyons aucune raison de la modifier.</w:t>
      </w:r>
    </w:p>
    <w:p w:rsidR="00CF3116" w:rsidRPr="007B79E3" w:rsidRDefault="00CF3116" w:rsidP="00CF3116">
      <w:pPr>
        <w:pStyle w:val="Title2LevelTitre2Niveau"/>
        <w:numPr>
          <w:ilvl w:val="1"/>
          <w:numId w:val="8"/>
        </w:numPr>
        <w:spacing w:before="0"/>
        <w:jc w:val="both"/>
        <w:rPr>
          <w:rFonts w:cs="Times New Roman"/>
          <w:lang w:val="fr-CA"/>
        </w:rPr>
      </w:pPr>
      <w:r w:rsidRPr="007B79E3">
        <w:rPr>
          <w:rFonts w:cs="Times New Roman"/>
          <w:lang w:val="fr-CA"/>
        </w:rPr>
        <w:t>L’immunité de la Couronne</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Comme il l’a fait devant les juridictions d’instances inférieures, le procureur général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 xml:space="preserve">Labrador a invoqué devant nous l’immunité de la Couronne comme raison supplémentaire de refuser d’instruire l’action dans la mesure où elle touche sa province. En Cour supérieure, le juge a estimé que la théorie de l’immunité de la Couronne s’appliquait mal à un dossier dans lequel une demande fondée sur l’art. 35 portait sur des droits ancestraux relativement à un territoire qui chevauche des frontières provinciales : par. 115. La Cour d’appel n’a pas statué sur cette question, mais a plutôt conclu que « l’immunité juridictionnelle interprovinciale </w:t>
      </w:r>
      <w:r w:rsidRPr="007B79E3">
        <w:rPr>
          <w:rFonts w:cs="Times New Roman"/>
          <w:szCs w:val="24"/>
          <w:lang w:val="fr-CA"/>
        </w:rPr>
        <w:lastRenderedPageBreak/>
        <w:t>ne peut faire obstacle, à ce stade, à la juridiction des tribunaux québécois sur le litige » : par. 100. Bien que le procureur général de Terre</w:t>
      </w:r>
      <w:r w:rsidRPr="007B79E3">
        <w:rPr>
          <w:rFonts w:cs="Times New Roman"/>
          <w:szCs w:val="24"/>
          <w:lang w:val="fr-CA"/>
        </w:rPr>
        <w:noBreakHyphen/>
        <w:t>Neuve</w:t>
      </w:r>
      <w:r w:rsidRPr="007B79E3">
        <w:rPr>
          <w:rFonts w:cs="Times New Roman"/>
          <w:szCs w:val="24"/>
          <w:lang w:val="fr-CA"/>
        </w:rPr>
        <w:noBreakHyphen/>
        <w:t>et</w:t>
      </w:r>
      <w:r w:rsidRPr="007B79E3">
        <w:rPr>
          <w:rFonts w:cs="Times New Roman"/>
          <w:szCs w:val="24"/>
          <w:lang w:val="fr-CA"/>
        </w:rPr>
        <w:noBreakHyphen/>
        <w:t>Labrador ait soulevé une question qui est potentiellement toujours en litige entre les parties à cet égard, nous sommes d’accord pour dire qu’il n’est pas nécessaire de la régler à ce stade de l’instance.</w:t>
      </w:r>
    </w:p>
    <w:p w:rsidR="00CF3116" w:rsidRPr="007B79E3" w:rsidRDefault="00CF3116" w:rsidP="00CF3116">
      <w:pPr>
        <w:pStyle w:val="ParaNoNdepar-AltN"/>
        <w:tabs>
          <w:tab w:val="clear" w:pos="1152"/>
          <w:tab w:val="left" w:pos="1166"/>
          <w:tab w:val="num" w:pos="1242"/>
        </w:tabs>
        <w:ind w:left="90"/>
        <w:rPr>
          <w:rFonts w:cs="Times New Roman"/>
          <w:lang w:val="fr-CA"/>
        </w:rPr>
      </w:pPr>
      <w:r w:rsidRPr="007B79E3">
        <w:rPr>
          <w:rFonts w:cs="Times New Roman"/>
          <w:lang w:val="fr-CA"/>
        </w:rPr>
        <w:t>Comme nous l’avons déjà expliqué, les tribunaux québécois ont compétence en l’espèce pour régler le différend qui oppose les Innus</w:t>
      </w:r>
      <w:r>
        <w:rPr>
          <w:rFonts w:cs="Times New Roman"/>
          <w:lang w:val="fr-CA"/>
        </w:rPr>
        <w:t xml:space="preserve"> et les compagnies</w:t>
      </w:r>
      <w:r w:rsidRPr="007B79E3">
        <w:rPr>
          <w:rFonts w:cs="Times New Roman"/>
          <w:lang w:val="fr-CA"/>
        </w:rPr>
        <w:t xml:space="preserve"> minières. Les Innus ne réclament aucune répar</w:t>
      </w:r>
      <w:r w:rsidR="00A67B8A">
        <w:rPr>
          <w:rFonts w:cs="Times New Roman"/>
          <w:lang w:val="fr-CA"/>
        </w:rPr>
        <w:t>ation contre la Couronne</w:t>
      </w:r>
      <w:r w:rsidRPr="007B79E3">
        <w:rPr>
          <w:rFonts w:cs="Times New Roman"/>
          <w:lang w:val="fr-CA"/>
        </w:rPr>
        <w:t xml:space="preserve"> </w:t>
      </w:r>
      <w:r>
        <w:rPr>
          <w:rFonts w:cs="Times New Roman"/>
          <w:lang w:val="fr-CA"/>
        </w:rPr>
        <w:t xml:space="preserve">de </w:t>
      </w:r>
      <w:r w:rsidRPr="007B79E3">
        <w:rPr>
          <w:rFonts w:cs="Times New Roman"/>
          <w:lang w:val="fr-CA"/>
        </w:rPr>
        <w:t>Terre</w:t>
      </w:r>
      <w:r w:rsidRPr="007B79E3">
        <w:rPr>
          <w:rFonts w:cs="Times New Roman"/>
          <w:lang w:val="fr-CA"/>
        </w:rPr>
        <w:noBreakHyphen/>
        <w:t>Neuve</w:t>
      </w:r>
      <w:r w:rsidRPr="007B79E3">
        <w:rPr>
          <w:rFonts w:cs="Times New Roman"/>
          <w:lang w:val="fr-CA"/>
        </w:rPr>
        <w:noBreakHyphen/>
        <w:t>et</w:t>
      </w:r>
      <w:r w:rsidRPr="007B79E3">
        <w:rPr>
          <w:rFonts w:cs="Times New Roman"/>
          <w:lang w:val="fr-CA"/>
        </w:rPr>
        <w:noBreakHyphen/>
        <w:t xml:space="preserve">Labrador, et ils admettent que les conclusions tirées au sujet des droits que leur </w:t>
      </w:r>
      <w:proofErr w:type="gramStart"/>
      <w:r w:rsidRPr="007B79E3">
        <w:rPr>
          <w:rFonts w:cs="Times New Roman"/>
          <w:sz w:val="22"/>
          <w:lang w:val="fr-CA"/>
        </w:rPr>
        <w:t>garantit</w:t>
      </w:r>
      <w:proofErr w:type="gramEnd"/>
      <w:r w:rsidRPr="007B79E3">
        <w:rPr>
          <w:rFonts w:cs="Times New Roman"/>
          <w:lang w:val="fr-CA"/>
        </w:rPr>
        <w:t xml:space="preserve"> l’art. 35 n’auront aucune valeur contra</w:t>
      </w:r>
      <w:r w:rsidR="00A67B8A">
        <w:rPr>
          <w:rFonts w:cs="Times New Roman"/>
          <w:lang w:val="fr-CA"/>
        </w:rPr>
        <w:t>ignante pour la Couronne</w:t>
      </w:r>
      <w:r w:rsidRPr="007B79E3">
        <w:rPr>
          <w:rFonts w:cs="Times New Roman"/>
          <w:lang w:val="fr-CA"/>
        </w:rPr>
        <w:t xml:space="preserve"> de Terre</w:t>
      </w:r>
      <w:r w:rsidRPr="007B79E3">
        <w:rPr>
          <w:rFonts w:cs="Times New Roman"/>
          <w:lang w:val="fr-CA"/>
        </w:rPr>
        <w:noBreakHyphen/>
        <w:t>Neuve</w:t>
      </w:r>
      <w:r w:rsidRPr="007B79E3">
        <w:rPr>
          <w:rFonts w:cs="Times New Roman"/>
          <w:lang w:val="fr-CA"/>
        </w:rPr>
        <w:noBreakHyphen/>
        <w:t>et</w:t>
      </w:r>
      <w:r w:rsidRPr="007B79E3">
        <w:rPr>
          <w:rFonts w:cs="Times New Roman"/>
          <w:lang w:val="fr-CA"/>
        </w:rPr>
        <w:noBreakHyphen/>
        <w:t>Labrador. En fait, ils reconnaissent qu’ils devraient « négocier avec le Gouvernement de Terre</w:t>
      </w:r>
      <w:r w:rsidRPr="007B79E3">
        <w:rPr>
          <w:rFonts w:cs="Times New Roman"/>
          <w:lang w:val="fr-CA"/>
        </w:rPr>
        <w:noBreakHyphen/>
        <w:t>Neuve</w:t>
      </w:r>
      <w:r w:rsidRPr="007B79E3">
        <w:rPr>
          <w:rFonts w:cs="Times New Roman"/>
          <w:lang w:val="fr-CA"/>
        </w:rPr>
        <w:noBreakHyphen/>
        <w:t>et</w:t>
      </w:r>
      <w:r w:rsidRPr="007B79E3">
        <w:rPr>
          <w:rFonts w:cs="Times New Roman"/>
          <w:lang w:val="fr-CA"/>
        </w:rPr>
        <w:noBreakHyphen/>
        <w:t>Labrador ou encore saisir les tribunaux de cette province dans le cadre d’une revendication globale » : motifs de la C.A., par. 104. Il n’est donc pas nécessaire d’aborder cette question à ce stade. Notre décision ne devrait toutefois pas être interprétée comme une fin de non</w:t>
      </w:r>
      <w:r w:rsidRPr="007B79E3">
        <w:rPr>
          <w:rFonts w:cs="Times New Roman"/>
          <w:lang w:val="fr-CA"/>
        </w:rPr>
        <w:noBreakHyphen/>
        <w:t>recevoir à la participation de la Couronne de Terre</w:t>
      </w:r>
      <w:r w:rsidRPr="007B79E3">
        <w:rPr>
          <w:rFonts w:cs="Times New Roman"/>
          <w:lang w:val="fr-CA"/>
        </w:rPr>
        <w:noBreakHyphen/>
        <w:t>Neuve</w:t>
      </w:r>
      <w:r w:rsidRPr="007B79E3">
        <w:rPr>
          <w:rFonts w:cs="Times New Roman"/>
          <w:lang w:val="fr-CA"/>
        </w:rPr>
        <w:noBreakHyphen/>
        <w:t>et</w:t>
      </w:r>
      <w:r w:rsidRPr="007B79E3">
        <w:rPr>
          <w:rFonts w:cs="Times New Roman"/>
          <w:lang w:val="fr-CA"/>
        </w:rPr>
        <w:noBreakHyphen/>
        <w:t>Labrador à l’instance, si elle le souhaite, pour faire valoir ses droits et ses intérêts, de même que pour présenter ses observations quant à la portée que devrait avoir tout jugement déclaratoire : voir par. 106</w:t>
      </w:r>
      <w:r w:rsidRPr="007B79E3">
        <w:rPr>
          <w:rFonts w:cs="Times New Roman"/>
          <w:lang w:val="fr-CA"/>
        </w:rPr>
        <w:noBreakHyphen/>
        <w:t>107.</w:t>
      </w:r>
    </w:p>
    <w:p w:rsidR="00CF3116" w:rsidRPr="007B79E3" w:rsidRDefault="00CF3116" w:rsidP="00CF3116">
      <w:pPr>
        <w:pStyle w:val="Title1LevelTitre1Niveau-AltL"/>
        <w:numPr>
          <w:ilvl w:val="0"/>
          <w:numId w:val="8"/>
        </w:numPr>
        <w:spacing w:before="0"/>
        <w:jc w:val="both"/>
        <w:rPr>
          <w:rFonts w:cs="Times New Roman"/>
          <w:szCs w:val="24"/>
          <w:lang w:val="fr-CA"/>
        </w:rPr>
      </w:pPr>
      <w:r w:rsidRPr="007B79E3">
        <w:rPr>
          <w:rFonts w:cs="Times New Roman"/>
          <w:szCs w:val="24"/>
          <w:lang w:val="fr-CA"/>
        </w:rPr>
        <w:t>Conclusion</w:t>
      </w:r>
    </w:p>
    <w:p w:rsidR="00CF3116" w:rsidRPr="007B79E3" w:rsidRDefault="00CF3116" w:rsidP="00CF3116">
      <w:pPr>
        <w:pStyle w:val="ParaNoNdepar-AltN"/>
        <w:tabs>
          <w:tab w:val="clear" w:pos="1152"/>
          <w:tab w:val="num" w:pos="1170"/>
        </w:tabs>
        <w:spacing w:before="0"/>
        <w:ind w:left="86"/>
        <w:rPr>
          <w:rFonts w:cs="Times New Roman"/>
          <w:szCs w:val="24"/>
          <w:lang w:val="fr-CA"/>
        </w:rPr>
      </w:pPr>
      <w:r w:rsidRPr="007B79E3">
        <w:rPr>
          <w:rFonts w:cs="Times New Roman"/>
          <w:szCs w:val="24"/>
          <w:lang w:val="fr-CA"/>
        </w:rPr>
        <w:t>Pour les motifs qui ont été exposés, nous concluons que la Cour supérieure du Québec a compétence pour connaître de l’action et nous sommes d’avis de rejeter le pourvoi avec dépens devant toutes les cours.</w:t>
      </w:r>
    </w:p>
    <w:p w:rsidR="00CF3116" w:rsidRDefault="00CF3116" w:rsidP="00CF3116">
      <w:pPr>
        <w:pStyle w:val="SCCNormalDoubleSpacing"/>
        <w:spacing w:after="480"/>
        <w:rPr>
          <w:rStyle w:val="SCCCounselPartyRoleChar"/>
          <w:lang w:val="fr-CA"/>
        </w:rPr>
      </w:pPr>
    </w:p>
    <w:p w:rsidR="00CF3116" w:rsidRDefault="006F520A" w:rsidP="006F520A">
      <w:pPr>
        <w:ind w:left="1170" w:hanging="1170"/>
        <w:rPr>
          <w:lang w:val="fr-CA"/>
        </w:rPr>
      </w:pPr>
      <w:r w:rsidRPr="00F52D1E">
        <w:rPr>
          <w:lang w:val="fr-CA"/>
        </w:rPr>
        <w:tab/>
      </w:r>
      <w:r w:rsidR="00CF3116" w:rsidRPr="00A8737D">
        <w:rPr>
          <w:lang w:val="fr-CA"/>
        </w:rPr>
        <w:t>Les motifs des juges Moldaver</w:t>
      </w:r>
      <w:r w:rsidR="00CF3116">
        <w:rPr>
          <w:lang w:val="fr-CA"/>
        </w:rPr>
        <w:t xml:space="preserve">, Côté, </w:t>
      </w:r>
      <w:r w:rsidR="00CF3116" w:rsidRPr="00A8737D">
        <w:rPr>
          <w:lang w:val="fr-CA"/>
        </w:rPr>
        <w:t>Brown et Rowe</w:t>
      </w:r>
      <w:r w:rsidR="00CF3116">
        <w:rPr>
          <w:lang w:val="fr-CA"/>
        </w:rPr>
        <w:t xml:space="preserve"> ont été rendus par</w:t>
      </w:r>
    </w:p>
    <w:p w:rsidR="00CF3116" w:rsidRDefault="00CF3116" w:rsidP="00CF3116">
      <w:pPr>
        <w:rPr>
          <w:lang w:val="fr-CA"/>
        </w:rPr>
      </w:pPr>
    </w:p>
    <w:p w:rsidR="00CF3116" w:rsidRPr="00F52D1E" w:rsidRDefault="00CF3116" w:rsidP="00CF3116">
      <w:pPr>
        <w:pStyle w:val="JudgeJuge"/>
        <w:rPr>
          <w:lang w:val="fr-CA"/>
        </w:rPr>
      </w:pPr>
      <w:r w:rsidRPr="00F52D1E">
        <w:rPr>
          <w:lang w:val="fr-CA"/>
        </w:rPr>
        <w:tab/>
        <w:t xml:space="preserve">Les juges Brown et Rowe </w:t>
      </w:r>
      <w:r w:rsidR="0065691B">
        <w:rPr>
          <w:smallCaps w:val="0"/>
          <w:lang w:val="fr-CA"/>
        </w:rPr>
        <w:t>(dissident</w:t>
      </w:r>
      <w:r w:rsidR="00405624">
        <w:rPr>
          <w:smallCaps w:val="0"/>
          <w:lang w:val="fr-CA"/>
        </w:rPr>
        <w:t>s</w:t>
      </w:r>
      <w:r w:rsidR="0065691B">
        <w:rPr>
          <w:smallCaps w:val="0"/>
          <w:lang w:val="fr-CA"/>
        </w:rPr>
        <w:t xml:space="preserve">) </w:t>
      </w:r>
      <w:r w:rsidRPr="00F52D1E">
        <w:rPr>
          <w:lang w:val="fr-CA"/>
        </w:rPr>
        <w:t xml:space="preserve">—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CF3116" w:rsidRPr="00F52D1E" w:rsidTr="009444DB">
        <w:trPr>
          <w:trHeight w:val="432"/>
        </w:trPr>
        <w:tc>
          <w:tcPr>
            <w:tcW w:w="9356" w:type="dxa"/>
            <w:gridSpan w:val="2"/>
          </w:tcPr>
          <w:p w:rsidR="00CF3116" w:rsidRPr="00F52D1E" w:rsidRDefault="00CF3116" w:rsidP="009444DB">
            <w:pPr>
              <w:tabs>
                <w:tab w:val="center" w:pos="4050"/>
              </w:tabs>
              <w:rPr>
                <w:b/>
              </w:rPr>
            </w:pPr>
            <w:r w:rsidRPr="00F52D1E">
              <w:rPr>
                <w:b/>
                <w:lang w:val="fr-CA"/>
              </w:rPr>
              <w:tab/>
            </w:r>
            <w:r w:rsidRPr="00F52D1E">
              <w:rPr>
                <w:b/>
                <w:lang w:val="fr-FR"/>
              </w:rPr>
              <w:t>TABLE DES MATIÈRES</w:t>
            </w:r>
          </w:p>
        </w:tc>
      </w:tr>
      <w:tr w:rsidR="00CF3116" w:rsidRPr="00F52D1E" w:rsidTr="009444DB">
        <w:trPr>
          <w:trHeight w:val="432"/>
        </w:trPr>
        <w:tc>
          <w:tcPr>
            <w:tcW w:w="9356" w:type="dxa"/>
            <w:gridSpan w:val="2"/>
          </w:tcPr>
          <w:p w:rsidR="00CF3116" w:rsidRPr="00F52D1E" w:rsidRDefault="00CF3116" w:rsidP="009444DB">
            <w:pPr>
              <w:tabs>
                <w:tab w:val="center" w:pos="4050"/>
              </w:tabs>
              <w:jc w:val="right"/>
            </w:pPr>
            <w:r w:rsidRPr="00F52D1E">
              <w:t>Paragraphe</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sz w:val="22"/>
              </w:rPr>
            </w:pPr>
            <w:r w:rsidRPr="00F52D1E">
              <w:rPr>
                <w:noProof/>
              </w:rPr>
              <w:t>I.</w:t>
            </w:r>
            <w:r w:rsidRPr="00F52D1E">
              <w:rPr>
                <w:rFonts w:eastAsiaTheme="minorEastAsia"/>
                <w:noProof/>
              </w:rPr>
              <w:tab/>
            </w:r>
            <w:r w:rsidRPr="00F52D1E">
              <w:rPr>
                <w:noProof/>
              </w:rPr>
              <w:t>Aperçu</w:t>
            </w:r>
          </w:p>
        </w:tc>
        <w:tc>
          <w:tcPr>
            <w:tcW w:w="851" w:type="dxa"/>
          </w:tcPr>
          <w:p w:rsidR="00CF3116" w:rsidRPr="00F52D1E" w:rsidRDefault="00CF3116" w:rsidP="009444DB">
            <w:pPr>
              <w:tabs>
                <w:tab w:val="left" w:pos="480"/>
                <w:tab w:val="right" w:leader="dot" w:pos="8270"/>
              </w:tabs>
              <w:spacing w:after="100"/>
            </w:pPr>
            <w:r w:rsidRPr="00F52D1E">
              <w:t>74</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sz w:val="22"/>
              </w:rPr>
            </w:pPr>
            <w:r w:rsidRPr="00F52D1E">
              <w:rPr>
                <w:noProof/>
              </w:rPr>
              <w:t>II.</w:t>
            </w:r>
            <w:r w:rsidRPr="00F52D1E">
              <w:rPr>
                <w:rFonts w:eastAsiaTheme="minorEastAsia"/>
                <w:noProof/>
              </w:rPr>
              <w:tab/>
            </w:r>
            <w:r w:rsidRPr="00F52D1E">
              <w:rPr>
                <w:noProof/>
              </w:rPr>
              <w:t>Contexte</w:t>
            </w:r>
          </w:p>
        </w:tc>
        <w:tc>
          <w:tcPr>
            <w:tcW w:w="851" w:type="dxa"/>
          </w:tcPr>
          <w:p w:rsidR="00CF3116" w:rsidRPr="00F52D1E" w:rsidRDefault="00CF3116" w:rsidP="009444DB">
            <w:pPr>
              <w:tabs>
                <w:tab w:val="left" w:pos="480"/>
                <w:tab w:val="right" w:leader="dot" w:pos="8270"/>
              </w:tabs>
              <w:spacing w:after="100"/>
            </w:pPr>
            <w:r w:rsidRPr="00F52D1E">
              <w:t>79</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lang w:val="fr-CA"/>
              </w:rPr>
            </w:pPr>
            <w:r w:rsidRPr="00F52D1E">
              <w:rPr>
                <w:noProof/>
                <w:lang w:val="fr-CA"/>
              </w:rPr>
              <w:t>III.</w:t>
            </w:r>
            <w:r w:rsidRPr="00F52D1E">
              <w:rPr>
                <w:noProof/>
                <w:lang w:val="fr-CA"/>
              </w:rPr>
              <w:tab/>
              <w:t>Décisions des juridictions inférieures</w:t>
            </w:r>
          </w:p>
        </w:tc>
        <w:tc>
          <w:tcPr>
            <w:tcW w:w="851" w:type="dxa"/>
          </w:tcPr>
          <w:p w:rsidR="00CF3116" w:rsidRPr="00F52D1E" w:rsidRDefault="00CF3116" w:rsidP="009444DB">
            <w:pPr>
              <w:tabs>
                <w:tab w:val="left" w:pos="480"/>
                <w:tab w:val="right" w:leader="dot" w:pos="8270"/>
              </w:tabs>
              <w:spacing w:after="100"/>
            </w:pPr>
            <w:r w:rsidRPr="00F52D1E">
              <w:t>88</w:t>
            </w:r>
          </w:p>
        </w:tc>
      </w:tr>
      <w:tr w:rsidR="00CF3116" w:rsidRPr="00F52D1E" w:rsidTr="009444DB">
        <w:trPr>
          <w:trHeight w:val="432"/>
        </w:trPr>
        <w:tc>
          <w:tcPr>
            <w:tcW w:w="8505" w:type="dxa"/>
          </w:tcPr>
          <w:p w:rsidR="00CF3116" w:rsidRPr="00F52D1E" w:rsidRDefault="00CF3116" w:rsidP="009444DB">
            <w:pPr>
              <w:tabs>
                <w:tab w:val="left" w:pos="567"/>
                <w:tab w:val="right" w:leader="dot" w:pos="8270"/>
              </w:tabs>
              <w:spacing w:after="100"/>
              <w:rPr>
                <w:noProof/>
                <w:sz w:val="22"/>
                <w:u w:val="single"/>
                <w:lang w:val="fr-CA"/>
              </w:rPr>
            </w:pPr>
            <w:r w:rsidRPr="00F52D1E">
              <w:rPr>
                <w:noProof/>
                <w:lang w:val="fr-CA"/>
              </w:rPr>
              <w:t>A.</w:t>
            </w:r>
            <w:r w:rsidRPr="00F52D1E">
              <w:rPr>
                <w:noProof/>
                <w:lang w:val="fr-CA"/>
              </w:rPr>
              <w:tab/>
              <w:t>Cour supérieure du Québec, 2016 QCCS 5133 (le juge Davis)</w:t>
            </w:r>
          </w:p>
        </w:tc>
        <w:tc>
          <w:tcPr>
            <w:tcW w:w="851" w:type="dxa"/>
          </w:tcPr>
          <w:p w:rsidR="00CF3116" w:rsidRPr="00F52D1E" w:rsidRDefault="00CF3116" w:rsidP="009444DB">
            <w:pPr>
              <w:tabs>
                <w:tab w:val="left" w:pos="480"/>
                <w:tab w:val="right" w:leader="dot" w:pos="8270"/>
              </w:tabs>
              <w:spacing w:after="100"/>
            </w:pPr>
            <w:r w:rsidRPr="00F52D1E">
              <w:t>88</w:t>
            </w:r>
          </w:p>
        </w:tc>
      </w:tr>
      <w:tr w:rsidR="00CF3116" w:rsidRPr="00F52D1E" w:rsidTr="009444DB">
        <w:trPr>
          <w:trHeight w:val="432"/>
        </w:trPr>
        <w:tc>
          <w:tcPr>
            <w:tcW w:w="8505" w:type="dxa"/>
          </w:tcPr>
          <w:p w:rsidR="00CF3116" w:rsidRPr="00F52D1E" w:rsidRDefault="00CF3116" w:rsidP="009444DB">
            <w:pPr>
              <w:tabs>
                <w:tab w:val="left" w:pos="567"/>
                <w:tab w:val="right" w:leader="dot" w:pos="8270"/>
              </w:tabs>
              <w:spacing w:after="100"/>
              <w:rPr>
                <w:noProof/>
                <w:sz w:val="22"/>
                <w:u w:val="single"/>
                <w:lang w:val="fr-CA"/>
              </w:rPr>
            </w:pPr>
            <w:r w:rsidRPr="00F52D1E">
              <w:rPr>
                <w:noProof/>
                <w:lang w:val="fr-CA"/>
              </w:rPr>
              <w:t>B.</w:t>
            </w:r>
            <w:r w:rsidRPr="00F52D1E">
              <w:rPr>
                <w:noProof/>
                <w:lang w:val="fr-CA"/>
              </w:rPr>
              <w:tab/>
              <w:t>Cour d’appel du Québec, 2017 QCCA 1791 (les juges Morissette, Healy et Ruel)</w:t>
            </w:r>
          </w:p>
        </w:tc>
        <w:tc>
          <w:tcPr>
            <w:tcW w:w="851" w:type="dxa"/>
          </w:tcPr>
          <w:p w:rsidR="00CF3116" w:rsidRPr="00F52D1E" w:rsidRDefault="00CF3116" w:rsidP="009444DB">
            <w:pPr>
              <w:tabs>
                <w:tab w:val="left" w:pos="480"/>
                <w:tab w:val="right" w:leader="dot" w:pos="8270"/>
              </w:tabs>
              <w:spacing w:after="100"/>
            </w:pPr>
            <w:r w:rsidRPr="00F52D1E">
              <w:t>92</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sz w:val="22"/>
                <w:lang w:val="fr-CA"/>
              </w:rPr>
            </w:pPr>
            <w:r w:rsidRPr="00F52D1E">
              <w:rPr>
                <w:noProof/>
                <w:lang w:val="fr-CA"/>
              </w:rPr>
              <w:t>IV.</w:t>
            </w:r>
            <w:r w:rsidRPr="00F52D1E">
              <w:rPr>
                <w:noProof/>
                <w:lang w:val="fr-CA"/>
              </w:rPr>
              <w:tab/>
              <w:t>Question en litige</w:t>
            </w:r>
          </w:p>
        </w:tc>
        <w:tc>
          <w:tcPr>
            <w:tcW w:w="851" w:type="dxa"/>
          </w:tcPr>
          <w:p w:rsidR="00CF3116" w:rsidRPr="00F52D1E" w:rsidRDefault="00CF3116" w:rsidP="009444DB">
            <w:pPr>
              <w:tabs>
                <w:tab w:val="left" w:pos="480"/>
                <w:tab w:val="right" w:leader="dot" w:pos="8270"/>
              </w:tabs>
              <w:spacing w:after="100"/>
            </w:pPr>
            <w:r w:rsidRPr="00F52D1E">
              <w:t>96</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lang w:val="fr-CA"/>
              </w:rPr>
            </w:pPr>
            <w:r w:rsidRPr="00F52D1E">
              <w:rPr>
                <w:noProof/>
                <w:lang w:val="fr-CA"/>
              </w:rPr>
              <w:t>V.</w:t>
            </w:r>
            <w:r w:rsidRPr="00F52D1E">
              <w:rPr>
                <w:noProof/>
                <w:lang w:val="fr-CA"/>
              </w:rPr>
              <w:tab/>
              <w:t>Analyse</w:t>
            </w:r>
          </w:p>
        </w:tc>
        <w:tc>
          <w:tcPr>
            <w:tcW w:w="851" w:type="dxa"/>
          </w:tcPr>
          <w:p w:rsidR="00CF3116" w:rsidRPr="00F52D1E" w:rsidRDefault="00CF3116" w:rsidP="009444DB">
            <w:pPr>
              <w:tabs>
                <w:tab w:val="left" w:pos="480"/>
                <w:tab w:val="right" w:leader="dot" w:pos="8270"/>
              </w:tabs>
              <w:spacing w:after="100"/>
            </w:pPr>
            <w:r w:rsidRPr="00F52D1E">
              <w:t>97</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sz w:val="22"/>
                <w:lang w:val="fr-CA"/>
              </w:rPr>
            </w:pPr>
            <w:r w:rsidRPr="00F52D1E">
              <w:rPr>
                <w:noProof/>
                <w:lang w:val="fr-CA"/>
              </w:rPr>
              <w:t>A.</w:t>
            </w:r>
            <w:r w:rsidRPr="00F52D1E">
              <w:rPr>
                <w:noProof/>
                <w:lang w:val="fr-CA"/>
              </w:rPr>
              <w:tab/>
              <w:t>Observations générales sur le cadre d’analyse applicable</w:t>
            </w:r>
          </w:p>
        </w:tc>
        <w:tc>
          <w:tcPr>
            <w:tcW w:w="851" w:type="dxa"/>
          </w:tcPr>
          <w:p w:rsidR="00CF3116" w:rsidRPr="00F52D1E" w:rsidRDefault="00CF3116" w:rsidP="009444DB">
            <w:pPr>
              <w:tabs>
                <w:tab w:val="left" w:pos="480"/>
                <w:tab w:val="right" w:leader="dot" w:pos="8270"/>
              </w:tabs>
              <w:spacing w:after="100"/>
            </w:pPr>
            <w:r w:rsidRPr="00F52D1E">
              <w:t>98</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rPr>
              <w:t>(1)</w:t>
            </w:r>
            <w:r w:rsidRPr="00F52D1E">
              <w:rPr>
                <w:noProof/>
                <w:lang w:val="fr-CA"/>
              </w:rPr>
              <w:tab/>
            </w:r>
            <w:r w:rsidRPr="00F52D1E">
              <w:rPr>
                <w:noProof/>
                <w:lang w:val="fr-CA"/>
                <w14:scene3d>
                  <w14:camera w14:prst="orthographicFront"/>
                  <w14:lightRig w14:rig="threePt" w14:dir="t">
                    <w14:rot w14:lat="0" w14:lon="0" w14:rev="0"/>
                  </w14:lightRig>
                </w14:scene3d>
              </w:rPr>
              <w:t>Obligation</w:t>
            </w:r>
            <w:r w:rsidRPr="00F52D1E">
              <w:rPr>
                <w:noProof/>
                <w:lang w:val="fr-CA"/>
              </w:rPr>
              <w:t xml:space="preserve"> de recourir aux règles du droit international privé</w:t>
            </w:r>
          </w:p>
        </w:tc>
        <w:tc>
          <w:tcPr>
            <w:tcW w:w="851" w:type="dxa"/>
          </w:tcPr>
          <w:p w:rsidR="00CF3116" w:rsidRPr="00F52D1E" w:rsidRDefault="00CF3116" w:rsidP="009444DB">
            <w:pPr>
              <w:tabs>
                <w:tab w:val="left" w:pos="480"/>
                <w:tab w:val="right" w:leader="dot" w:pos="8270"/>
              </w:tabs>
              <w:spacing w:after="100"/>
            </w:pPr>
            <w:r w:rsidRPr="00F52D1E">
              <w:t>101</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rPr>
              <w:t>(2)</w:t>
            </w:r>
            <w:r w:rsidRPr="00F52D1E">
              <w:rPr>
                <w:noProof/>
                <w:lang w:val="fr-CA"/>
              </w:rPr>
              <w:tab/>
            </w:r>
            <w:r w:rsidRPr="00F52D1E">
              <w:rPr>
                <w:noProof/>
                <w:lang w:val="fr-CA"/>
                <w14:scene3d>
                  <w14:camera w14:prst="orthographicFront"/>
                  <w14:lightRig w14:rig="threePt" w14:dir="t">
                    <w14:rot w14:lat="0" w14:lon="0" w14:rev="0"/>
                  </w14:lightRig>
                </w14:scene3d>
              </w:rPr>
              <w:t>Limites</w:t>
            </w:r>
            <w:r w:rsidRPr="00F52D1E">
              <w:rPr>
                <w:noProof/>
                <w:lang w:val="fr-CA"/>
              </w:rPr>
              <w:t xml:space="preserve"> territoriales prévues par la Constitution</w:t>
            </w:r>
          </w:p>
        </w:tc>
        <w:tc>
          <w:tcPr>
            <w:tcW w:w="851" w:type="dxa"/>
          </w:tcPr>
          <w:p w:rsidR="00CF3116" w:rsidRPr="00F52D1E" w:rsidRDefault="00CF3116" w:rsidP="009444DB">
            <w:pPr>
              <w:tabs>
                <w:tab w:val="left" w:pos="480"/>
                <w:tab w:val="right" w:leader="dot" w:pos="8270"/>
              </w:tabs>
              <w:spacing w:after="100"/>
            </w:pPr>
            <w:r w:rsidRPr="00F52D1E">
              <w:t>114</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rPr>
              <w:t>(3)</w:t>
            </w:r>
            <w:r w:rsidRPr="00F52D1E">
              <w:rPr>
                <w:noProof/>
                <w:lang w:val="fr-CA"/>
              </w:rPr>
              <w:tab/>
            </w:r>
            <w:r w:rsidRPr="00F52D1E">
              <w:rPr>
                <w:noProof/>
                <w:lang w:val="fr-CA"/>
                <w14:scene3d>
                  <w14:camera w14:prst="orthographicFront"/>
                  <w14:lightRig w14:rig="threePt" w14:dir="t">
                    <w14:rot w14:lat="0" w14:lon="0" w14:rev="0"/>
                  </w14:lightRig>
                </w14:scene3d>
              </w:rPr>
              <w:t>Conclusion</w:t>
            </w:r>
            <w:r w:rsidRPr="00F52D1E">
              <w:rPr>
                <w:noProof/>
                <w:lang w:val="fr-CA"/>
              </w:rPr>
              <w:t xml:space="preserve"> sur les observations générales</w:t>
            </w:r>
          </w:p>
        </w:tc>
        <w:tc>
          <w:tcPr>
            <w:tcW w:w="851" w:type="dxa"/>
          </w:tcPr>
          <w:p w:rsidR="00CF3116" w:rsidRPr="00F52D1E" w:rsidRDefault="00CF3116" w:rsidP="009444DB">
            <w:pPr>
              <w:tabs>
                <w:tab w:val="left" w:pos="480"/>
                <w:tab w:val="right" w:leader="dot" w:pos="8270"/>
              </w:tabs>
              <w:spacing w:after="100"/>
            </w:pPr>
            <w:r w:rsidRPr="00F52D1E">
              <w:t>117</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lang w:val="fr-CA"/>
              </w:rPr>
            </w:pPr>
            <w:r w:rsidRPr="00F52D1E">
              <w:rPr>
                <w:noProof/>
                <w:lang w:val="fr-CA"/>
                <w14:scene3d>
                  <w14:camera w14:prst="orthographicFront"/>
                  <w14:lightRig w14:rig="threePt" w14:dir="t">
                    <w14:rot w14:lat="0" w14:lon="0" w14:rev="0"/>
                  </w14:lightRig>
                </w14:scene3d>
              </w:rPr>
              <w:t>B.</w:t>
            </w:r>
            <w:r w:rsidRPr="00F52D1E">
              <w:rPr>
                <w:noProof/>
                <w:lang w:val="fr-CA"/>
                <w14:scene3d>
                  <w14:camera w14:prst="orthographicFront"/>
                  <w14:lightRig w14:rig="threePt" w14:dir="t">
                    <w14:rot w14:lat="0" w14:lon="0" w14:rev="0"/>
                  </w14:lightRig>
                </w14:scene3d>
              </w:rPr>
              <w:tab/>
              <w:t>Compétence des autorités québécoises</w:t>
            </w:r>
          </w:p>
        </w:tc>
        <w:tc>
          <w:tcPr>
            <w:tcW w:w="851" w:type="dxa"/>
          </w:tcPr>
          <w:p w:rsidR="00CF3116" w:rsidRPr="00F52D1E" w:rsidRDefault="00CF3116" w:rsidP="009444DB">
            <w:pPr>
              <w:tabs>
                <w:tab w:val="left" w:pos="480"/>
                <w:tab w:val="right" w:leader="dot" w:pos="8270"/>
              </w:tabs>
              <w:spacing w:after="100"/>
            </w:pPr>
            <w:r w:rsidRPr="00F52D1E">
              <w:t>126</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14:scene3d>
                  <w14:camera w14:prst="orthographicFront"/>
                  <w14:lightRig w14:rig="threePt" w14:dir="t">
                    <w14:rot w14:lat="0" w14:lon="0" w14:rev="0"/>
                  </w14:lightRig>
                </w14:scene3d>
              </w:rPr>
              <w:t>(1)</w:t>
            </w:r>
            <w:r w:rsidRPr="00F52D1E">
              <w:rPr>
                <w:noProof/>
                <w:lang w:val="fr-CA"/>
                <w14:scene3d>
                  <w14:camera w14:prst="orthographicFront"/>
                  <w14:lightRig w14:rig="threePt" w14:dir="t">
                    <w14:rot w14:lat="0" w14:lon="0" w14:rev="0"/>
                  </w14:lightRig>
                </w14:scene3d>
              </w:rPr>
              <w:tab/>
              <w:t>Qualification de l’action des Innus</w:t>
            </w:r>
          </w:p>
        </w:tc>
        <w:tc>
          <w:tcPr>
            <w:tcW w:w="851" w:type="dxa"/>
          </w:tcPr>
          <w:p w:rsidR="00CF3116" w:rsidRPr="00F52D1E" w:rsidRDefault="00CF3116" w:rsidP="009444DB">
            <w:pPr>
              <w:tabs>
                <w:tab w:val="left" w:pos="480"/>
                <w:tab w:val="right" w:leader="dot" w:pos="8270"/>
              </w:tabs>
              <w:spacing w:after="100"/>
            </w:pPr>
            <w:r w:rsidRPr="00F52D1E">
              <w:t>127</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14:scene3d>
                  <w14:camera w14:prst="orthographicFront"/>
                  <w14:lightRig w14:rig="threePt" w14:dir="t">
                    <w14:rot w14:lat="0" w14:lon="0" w14:rev="0"/>
                  </w14:lightRig>
                </w14:scene3d>
              </w:rPr>
              <w:t>(2)</w:t>
            </w:r>
            <w:r w:rsidRPr="00F52D1E">
              <w:rPr>
                <w:noProof/>
                <w:lang w:val="fr-CA"/>
                <w14:scene3d>
                  <w14:camera w14:prst="orthographicFront"/>
                  <w14:lightRig w14:rig="threePt" w14:dir="t">
                    <w14:rot w14:lat="0" w14:lon="0" w14:rev="0"/>
                  </w14:lightRig>
                </w14:scene3d>
              </w:rPr>
              <w:tab/>
              <w:t>Article 3152 C.c.Q.</w:t>
            </w:r>
          </w:p>
        </w:tc>
        <w:tc>
          <w:tcPr>
            <w:tcW w:w="851" w:type="dxa"/>
          </w:tcPr>
          <w:p w:rsidR="00CF3116" w:rsidRPr="00F52D1E" w:rsidRDefault="00CF3116" w:rsidP="009444DB">
            <w:pPr>
              <w:tabs>
                <w:tab w:val="left" w:pos="480"/>
                <w:tab w:val="right" w:leader="dot" w:pos="8270"/>
              </w:tabs>
              <w:spacing w:after="100"/>
            </w:pPr>
            <w:r w:rsidRPr="00F52D1E">
              <w:t>163</w:t>
            </w:r>
          </w:p>
        </w:tc>
      </w:tr>
      <w:tr w:rsidR="00CF3116" w:rsidRPr="00F52D1E" w:rsidTr="009444DB">
        <w:trPr>
          <w:trHeight w:val="456"/>
        </w:trPr>
        <w:tc>
          <w:tcPr>
            <w:tcW w:w="8505" w:type="dxa"/>
          </w:tcPr>
          <w:p w:rsidR="00CF3116" w:rsidRPr="00F52D1E" w:rsidRDefault="00CF3116" w:rsidP="009444DB">
            <w:pPr>
              <w:tabs>
                <w:tab w:val="left" w:pos="993"/>
                <w:tab w:val="right" w:leader="dot" w:pos="8270"/>
              </w:tabs>
              <w:spacing w:after="100"/>
              <w:ind w:left="480"/>
              <w:rPr>
                <w:lang w:val="fr-CA"/>
              </w:rPr>
            </w:pPr>
            <w:r w:rsidRPr="00F52D1E">
              <w:rPr>
                <w:noProof/>
                <w:lang w:val="fr-CA"/>
                <w14:scene3d>
                  <w14:camera w14:prst="orthographicFront"/>
                  <w14:lightRig w14:rig="threePt" w14:dir="t">
                    <w14:rot w14:lat="0" w14:lon="0" w14:rev="0"/>
                  </w14:lightRig>
                </w14:scene3d>
              </w:rPr>
              <w:t>(3)</w:t>
            </w:r>
            <w:r w:rsidRPr="00F52D1E">
              <w:rPr>
                <w:noProof/>
                <w:lang w:val="fr-CA"/>
                <w14:scene3d>
                  <w14:camera w14:prst="orthographicFront"/>
                  <w14:lightRig w14:rig="threePt" w14:dir="t">
                    <w14:rot w14:lat="0" w14:lon="0" w14:rev="0"/>
                  </w14:lightRig>
                </w14:scene3d>
              </w:rPr>
              <w:tab/>
              <w:t>Examen de la compétence pour chaque demande en particulier</w:t>
            </w:r>
          </w:p>
        </w:tc>
        <w:tc>
          <w:tcPr>
            <w:tcW w:w="851" w:type="dxa"/>
          </w:tcPr>
          <w:p w:rsidR="00CF3116" w:rsidRPr="00F52D1E" w:rsidRDefault="00CF3116" w:rsidP="009444DB">
            <w:pPr>
              <w:tabs>
                <w:tab w:val="left" w:pos="480"/>
                <w:tab w:val="right" w:leader="dot" w:pos="8270"/>
              </w:tabs>
              <w:spacing w:after="100"/>
            </w:pPr>
            <w:r w:rsidRPr="00F52D1E">
              <w:t>184</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14:scene3d>
                  <w14:camera w14:prst="orthographicFront"/>
                  <w14:lightRig w14:rig="threePt" w14:dir="t">
                    <w14:rot w14:lat="0" w14:lon="0" w14:rev="0"/>
                  </w14:lightRig>
                </w14:scene3d>
              </w:rPr>
              <w:t>(4)</w:t>
            </w:r>
            <w:r w:rsidRPr="00F52D1E">
              <w:rPr>
                <w:noProof/>
                <w:lang w:val="fr-CA"/>
                <w14:scene3d>
                  <w14:camera w14:prst="orthographicFront"/>
                  <w14:lightRig w14:rig="threePt" w14:dir="t">
                    <w14:rot w14:lat="0" w14:lon="0" w14:rev="0"/>
                  </w14:lightRig>
                </w14:scene3d>
              </w:rPr>
              <w:tab/>
              <w:t>Conclusion sur la compétence des autorités québécoises</w:t>
            </w:r>
          </w:p>
        </w:tc>
        <w:tc>
          <w:tcPr>
            <w:tcW w:w="851" w:type="dxa"/>
          </w:tcPr>
          <w:p w:rsidR="00CF3116" w:rsidRPr="00F52D1E" w:rsidRDefault="00CF3116" w:rsidP="009444DB">
            <w:pPr>
              <w:tabs>
                <w:tab w:val="left" w:pos="480"/>
                <w:tab w:val="right" w:leader="dot" w:pos="8270"/>
              </w:tabs>
              <w:spacing w:after="100"/>
            </w:pPr>
            <w:r w:rsidRPr="00F52D1E">
              <w:t>203</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sz w:val="22"/>
                <w:lang w:val="fr-CA"/>
              </w:rPr>
            </w:pPr>
            <w:r w:rsidRPr="00F52D1E">
              <w:rPr>
                <w:noProof/>
                <w:lang w:val="fr-CA"/>
                <w14:scene3d>
                  <w14:camera w14:prst="orthographicFront"/>
                  <w14:lightRig w14:rig="threePt" w14:dir="t">
                    <w14:rot w14:lat="0" w14:lon="0" w14:rev="0"/>
                  </w14:lightRig>
                </w14:scene3d>
              </w:rPr>
              <w:t>C.</w:t>
            </w:r>
            <w:r w:rsidRPr="00F52D1E">
              <w:rPr>
                <w:noProof/>
                <w:lang w:val="fr-CA"/>
                <w14:scene3d>
                  <w14:camera w14:prst="orthographicFront"/>
                  <w14:lightRig w14:rig="threePt" w14:dir="t">
                    <w14:rot w14:lat="0" w14:lon="0" w14:rev="0"/>
                  </w14:lightRig>
                </w14:scene3d>
              </w:rPr>
              <w:tab/>
              <w:t>Quelques pistes de solution</w:t>
            </w:r>
          </w:p>
        </w:tc>
        <w:tc>
          <w:tcPr>
            <w:tcW w:w="851" w:type="dxa"/>
          </w:tcPr>
          <w:p w:rsidR="00CF3116" w:rsidRPr="00F52D1E" w:rsidRDefault="00CF3116" w:rsidP="009444DB">
            <w:pPr>
              <w:tabs>
                <w:tab w:val="left" w:pos="480"/>
                <w:tab w:val="right" w:leader="dot" w:pos="8270"/>
              </w:tabs>
              <w:spacing w:after="100"/>
            </w:pPr>
            <w:r w:rsidRPr="00F52D1E">
              <w:t>207</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14:scene3d>
                  <w14:camera w14:prst="orthographicFront"/>
                  <w14:lightRig w14:rig="threePt" w14:dir="t">
                    <w14:rot w14:lat="0" w14:lon="0" w14:rev="0"/>
                  </w14:lightRig>
                </w14:scene3d>
              </w:rPr>
              <w:t>(1)</w:t>
            </w:r>
            <w:r w:rsidRPr="00F52D1E">
              <w:rPr>
                <w:noProof/>
                <w:lang w:val="fr-CA"/>
                <w14:scene3d>
                  <w14:camera w14:prst="orthographicFront"/>
                  <w14:lightRig w14:rig="threePt" w14:dir="t">
                    <w14:rot w14:lat="0" w14:lon="0" w14:rev="0"/>
                  </w14:lightRig>
                </w14:scene3d>
              </w:rPr>
              <w:tab/>
              <w:t>Caractère transfrontalier des droits ancestraux</w:t>
            </w:r>
          </w:p>
        </w:tc>
        <w:tc>
          <w:tcPr>
            <w:tcW w:w="851" w:type="dxa"/>
          </w:tcPr>
          <w:p w:rsidR="00CF3116" w:rsidRPr="00F52D1E" w:rsidRDefault="00CF3116" w:rsidP="009444DB">
            <w:pPr>
              <w:tabs>
                <w:tab w:val="left" w:pos="480"/>
                <w:tab w:val="right" w:leader="dot" w:pos="8270"/>
              </w:tabs>
              <w:spacing w:after="100"/>
            </w:pPr>
            <w:r w:rsidRPr="00F52D1E">
              <w:t>207</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14:scene3d>
                  <w14:camera w14:prst="orthographicFront"/>
                  <w14:lightRig w14:rig="threePt" w14:dir="t">
                    <w14:rot w14:lat="0" w14:lon="0" w14:rev="0"/>
                  </w14:lightRig>
                </w14:scene3d>
              </w:rPr>
              <w:t>(2)</w:t>
            </w:r>
            <w:r w:rsidRPr="00F52D1E">
              <w:rPr>
                <w:noProof/>
                <w:lang w:val="fr-CA"/>
                <w14:scene3d>
                  <w14:camera w14:prst="orthographicFront"/>
                  <w14:lightRig w14:rig="threePt" w14:dir="t">
                    <w14:rot w14:lat="0" w14:lon="0" w14:rev="0"/>
                  </w14:lightRig>
                </w14:scene3d>
              </w:rPr>
              <w:tab/>
              <w:t>Accès à la justice</w:t>
            </w:r>
          </w:p>
        </w:tc>
        <w:tc>
          <w:tcPr>
            <w:tcW w:w="851" w:type="dxa"/>
          </w:tcPr>
          <w:p w:rsidR="00CF3116" w:rsidRPr="00F52D1E" w:rsidRDefault="00CF3116" w:rsidP="009444DB">
            <w:pPr>
              <w:tabs>
                <w:tab w:val="left" w:pos="480"/>
                <w:tab w:val="right" w:leader="dot" w:pos="8270"/>
              </w:tabs>
              <w:spacing w:after="100"/>
            </w:pPr>
            <w:r w:rsidRPr="00F52D1E">
              <w:t>214</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14:scene3d>
                  <w14:camera w14:prst="orthographicFront"/>
                  <w14:lightRig w14:rig="threePt" w14:dir="t">
                    <w14:rot w14:lat="0" w14:lon="0" w14:rev="0"/>
                  </w14:lightRig>
                </w14:scene3d>
              </w:rPr>
              <w:t>(3)</w:t>
            </w:r>
            <w:r w:rsidRPr="00F52D1E">
              <w:rPr>
                <w:noProof/>
                <w:lang w:val="fr-CA"/>
                <w14:scene3d>
                  <w14:camera w14:prst="orthographicFront"/>
                  <w14:lightRig w14:rig="threePt" w14:dir="t">
                    <w14:rot w14:lat="0" w14:lon="0" w14:rev="0"/>
                  </w14:lightRig>
                </w14:scene3d>
              </w:rPr>
              <w:tab/>
              <w:t>Compétence inhérente</w:t>
            </w:r>
          </w:p>
        </w:tc>
        <w:tc>
          <w:tcPr>
            <w:tcW w:w="851" w:type="dxa"/>
          </w:tcPr>
          <w:p w:rsidR="00CF3116" w:rsidRPr="00F52D1E" w:rsidRDefault="00CF3116" w:rsidP="009444DB">
            <w:pPr>
              <w:tabs>
                <w:tab w:val="left" w:pos="480"/>
                <w:tab w:val="right" w:leader="dot" w:pos="8270"/>
              </w:tabs>
              <w:spacing w:after="100"/>
            </w:pPr>
            <w:r w:rsidRPr="00F52D1E">
              <w:t>218</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sz w:val="22"/>
                <w:lang w:val="fr-CA"/>
              </w:rPr>
            </w:pPr>
            <w:r w:rsidRPr="00F52D1E">
              <w:rPr>
                <w:noProof/>
                <w:lang w:val="fr-CA"/>
              </w:rPr>
              <w:t>D.</w:t>
            </w:r>
            <w:r w:rsidRPr="00F52D1E">
              <w:rPr>
                <w:noProof/>
                <w:lang w:val="fr-CA"/>
              </w:rPr>
              <w:tab/>
            </w:r>
            <w:r w:rsidRPr="00F52D1E">
              <w:rPr>
                <w:noProof/>
                <w:lang w:val="fr-CA"/>
                <w14:scene3d>
                  <w14:camera w14:prst="orthographicFront"/>
                  <w14:lightRig w14:rig="threePt" w14:dir="t">
                    <w14:rot w14:lat="0" w14:lon="0" w14:rev="0"/>
                  </w14:lightRig>
                </w14:scene3d>
              </w:rPr>
              <w:t>Approche</w:t>
            </w:r>
            <w:r w:rsidRPr="00F52D1E">
              <w:rPr>
                <w:noProof/>
                <w:lang w:val="fr-CA"/>
              </w:rPr>
              <w:t xml:space="preserve"> préconisée par le procureur général du Canada</w:t>
            </w:r>
          </w:p>
        </w:tc>
        <w:tc>
          <w:tcPr>
            <w:tcW w:w="851" w:type="dxa"/>
          </w:tcPr>
          <w:p w:rsidR="00CF3116" w:rsidRPr="00F52D1E" w:rsidRDefault="00CF3116" w:rsidP="009444DB">
            <w:pPr>
              <w:tabs>
                <w:tab w:val="left" w:pos="480"/>
                <w:tab w:val="right" w:leader="dot" w:pos="8270"/>
              </w:tabs>
              <w:spacing w:after="100"/>
            </w:pPr>
            <w:r w:rsidRPr="00F52D1E">
              <w:t>236</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lang w:val="fr-CA"/>
              </w:rPr>
            </w:pPr>
            <w:r w:rsidRPr="00F52D1E">
              <w:rPr>
                <w:noProof/>
                <w:lang w:val="fr-CA"/>
              </w:rPr>
              <w:t>(1)</w:t>
            </w:r>
            <w:r w:rsidRPr="00F52D1E">
              <w:rPr>
                <w:noProof/>
                <w:lang w:val="fr-CA"/>
              </w:rPr>
              <w:tab/>
              <w:t>Les effets sur la structure constitutionnelle du Canada</w:t>
            </w:r>
          </w:p>
        </w:tc>
        <w:tc>
          <w:tcPr>
            <w:tcW w:w="851" w:type="dxa"/>
          </w:tcPr>
          <w:p w:rsidR="00CF3116" w:rsidRPr="00F52D1E" w:rsidRDefault="00CF3116" w:rsidP="009444DB">
            <w:pPr>
              <w:tabs>
                <w:tab w:val="left" w:pos="480"/>
                <w:tab w:val="right" w:leader="dot" w:pos="8270"/>
              </w:tabs>
              <w:spacing w:after="100"/>
            </w:pPr>
            <w:r w:rsidRPr="00F52D1E">
              <w:t>236</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sz w:val="22"/>
                <w:lang w:val="fr-CA"/>
              </w:rPr>
            </w:pPr>
            <w:r w:rsidRPr="00F52D1E">
              <w:rPr>
                <w:noProof/>
                <w:lang w:val="fr-CA"/>
              </w:rPr>
              <w:t>(2)</w:t>
            </w:r>
            <w:r w:rsidRPr="00F52D1E">
              <w:rPr>
                <w:noProof/>
                <w:lang w:val="fr-CA"/>
              </w:rPr>
              <w:tab/>
              <w:t>L’approche du PGC, source d’une forte possibilité de jugements contradictoires et de confusion</w:t>
            </w:r>
          </w:p>
        </w:tc>
        <w:tc>
          <w:tcPr>
            <w:tcW w:w="851" w:type="dxa"/>
          </w:tcPr>
          <w:p w:rsidR="00CF3116" w:rsidRPr="00F52D1E" w:rsidRDefault="00CF3116" w:rsidP="009444DB">
            <w:pPr>
              <w:tabs>
                <w:tab w:val="left" w:pos="480"/>
                <w:tab w:val="right" w:leader="dot" w:pos="8270"/>
              </w:tabs>
              <w:spacing w:after="100"/>
            </w:pPr>
            <w:r w:rsidRPr="00F52D1E">
              <w:t>267</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u w:val="single"/>
                <w:lang w:val="fr-CA"/>
              </w:rPr>
            </w:pPr>
            <w:r w:rsidRPr="00F52D1E">
              <w:rPr>
                <w:noProof/>
                <w:lang w:val="fr-CA"/>
              </w:rPr>
              <w:lastRenderedPageBreak/>
              <w:t>(3)</w:t>
            </w:r>
            <w:r w:rsidRPr="00F52D1E">
              <w:rPr>
                <w:noProof/>
                <w:lang w:val="fr-CA"/>
              </w:rPr>
              <w:tab/>
              <w:t>Incompatibilité avec le principe de l’immunité de la Couronne</w:t>
            </w:r>
          </w:p>
        </w:tc>
        <w:tc>
          <w:tcPr>
            <w:tcW w:w="851" w:type="dxa"/>
          </w:tcPr>
          <w:p w:rsidR="00CF3116" w:rsidRPr="00F52D1E" w:rsidRDefault="00CF3116" w:rsidP="009444DB">
            <w:pPr>
              <w:tabs>
                <w:tab w:val="left" w:pos="480"/>
                <w:tab w:val="right" w:leader="dot" w:pos="8270"/>
              </w:tabs>
              <w:spacing w:after="100"/>
              <w:rPr>
                <w:lang w:val="fr-CA"/>
              </w:rPr>
            </w:pPr>
            <w:r w:rsidRPr="00F52D1E">
              <w:rPr>
                <w:lang w:val="fr-CA"/>
              </w:rPr>
              <w:t>274</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lang w:val="fr-CA"/>
              </w:rPr>
            </w:pPr>
            <w:r w:rsidRPr="00F52D1E">
              <w:rPr>
                <w:noProof/>
                <w:lang w:val="fr-CA"/>
              </w:rPr>
              <w:t>(4)</w:t>
            </w:r>
            <w:r w:rsidRPr="00F52D1E">
              <w:rPr>
                <w:noProof/>
                <w:lang w:val="fr-CA"/>
              </w:rPr>
              <w:tab/>
              <w:t>Approche préconisée par le PGC : obstacle à l’accès à la justice</w:t>
            </w:r>
          </w:p>
        </w:tc>
        <w:tc>
          <w:tcPr>
            <w:tcW w:w="851" w:type="dxa"/>
          </w:tcPr>
          <w:p w:rsidR="00CF3116" w:rsidRPr="00F52D1E" w:rsidRDefault="00CF3116" w:rsidP="009444DB">
            <w:pPr>
              <w:tabs>
                <w:tab w:val="left" w:pos="480"/>
                <w:tab w:val="right" w:leader="dot" w:pos="8270"/>
              </w:tabs>
              <w:spacing w:after="100"/>
              <w:rPr>
                <w:lang w:val="fr-CA"/>
              </w:rPr>
            </w:pPr>
            <w:r w:rsidRPr="00F52D1E">
              <w:rPr>
                <w:lang w:val="fr-CA"/>
              </w:rPr>
              <w:t>281</w:t>
            </w:r>
          </w:p>
        </w:tc>
      </w:tr>
      <w:tr w:rsidR="00CF3116" w:rsidRPr="00F52D1E" w:rsidTr="009444DB">
        <w:trPr>
          <w:trHeight w:val="432"/>
        </w:trPr>
        <w:tc>
          <w:tcPr>
            <w:tcW w:w="8505" w:type="dxa"/>
          </w:tcPr>
          <w:p w:rsidR="00CF3116" w:rsidRPr="00F52D1E" w:rsidRDefault="00CF3116" w:rsidP="009444DB">
            <w:pPr>
              <w:tabs>
                <w:tab w:val="left" w:pos="993"/>
                <w:tab w:val="right" w:leader="dot" w:pos="8270"/>
              </w:tabs>
              <w:spacing w:after="100"/>
              <w:ind w:left="480"/>
              <w:rPr>
                <w:noProof/>
                <w:lang w:val="fr-CA"/>
              </w:rPr>
            </w:pPr>
            <w:r w:rsidRPr="00F52D1E">
              <w:rPr>
                <w:noProof/>
                <w:lang w:val="fr-CA"/>
              </w:rPr>
              <w:t>(5)</w:t>
            </w:r>
            <w:r w:rsidRPr="00F52D1E">
              <w:rPr>
                <w:noProof/>
                <w:lang w:val="fr-CA"/>
              </w:rPr>
              <w:tab/>
              <w:t>Approche préconisée par le PGC : source potentielle de problèmes sérieux dans la présente affaire</w:t>
            </w:r>
          </w:p>
        </w:tc>
        <w:tc>
          <w:tcPr>
            <w:tcW w:w="851" w:type="dxa"/>
          </w:tcPr>
          <w:p w:rsidR="00CF3116" w:rsidRPr="00F52D1E" w:rsidRDefault="00CF3116" w:rsidP="009444DB">
            <w:pPr>
              <w:tabs>
                <w:tab w:val="left" w:pos="480"/>
                <w:tab w:val="right" w:leader="dot" w:pos="8270"/>
              </w:tabs>
              <w:spacing w:after="100"/>
              <w:rPr>
                <w:lang w:val="fr-CA"/>
              </w:rPr>
            </w:pPr>
            <w:r w:rsidRPr="00F52D1E">
              <w:rPr>
                <w:lang w:val="fr-CA"/>
              </w:rPr>
              <w:t>291</w:t>
            </w:r>
          </w:p>
        </w:tc>
      </w:tr>
      <w:tr w:rsidR="00CF3116" w:rsidRPr="00F52D1E" w:rsidTr="009444DB">
        <w:trPr>
          <w:trHeight w:val="432"/>
        </w:trPr>
        <w:tc>
          <w:tcPr>
            <w:tcW w:w="8505" w:type="dxa"/>
          </w:tcPr>
          <w:p w:rsidR="00CF3116" w:rsidRPr="00F52D1E" w:rsidRDefault="00CF3116" w:rsidP="009444DB">
            <w:pPr>
              <w:tabs>
                <w:tab w:val="left" w:pos="480"/>
                <w:tab w:val="right" w:leader="dot" w:pos="8270"/>
              </w:tabs>
              <w:spacing w:after="100"/>
              <w:rPr>
                <w:noProof/>
                <w:lang w:val="fr-CA"/>
              </w:rPr>
            </w:pPr>
            <w:r w:rsidRPr="00F52D1E">
              <w:rPr>
                <w:noProof/>
                <w:lang w:val="fr-CA"/>
              </w:rPr>
              <w:t>VI.</w:t>
            </w:r>
            <w:r w:rsidRPr="00F52D1E">
              <w:rPr>
                <w:noProof/>
                <w:lang w:val="fr-CA"/>
              </w:rPr>
              <w:tab/>
              <w:t>Conclusion</w:t>
            </w:r>
          </w:p>
        </w:tc>
        <w:tc>
          <w:tcPr>
            <w:tcW w:w="851" w:type="dxa"/>
          </w:tcPr>
          <w:p w:rsidR="00CF3116" w:rsidRPr="00F52D1E" w:rsidRDefault="00CF3116" w:rsidP="009444DB">
            <w:pPr>
              <w:tabs>
                <w:tab w:val="left" w:pos="480"/>
                <w:tab w:val="right" w:leader="dot" w:pos="8270"/>
              </w:tabs>
              <w:spacing w:after="100"/>
              <w:rPr>
                <w:lang w:val="fr-CA"/>
              </w:rPr>
            </w:pPr>
            <w:r w:rsidRPr="00F52D1E">
              <w:rPr>
                <w:lang w:val="fr-CA"/>
              </w:rPr>
              <w:t>297</w:t>
            </w:r>
          </w:p>
        </w:tc>
      </w:tr>
    </w:tbl>
    <w:p w:rsidR="00CF3116" w:rsidRPr="00A1047D" w:rsidRDefault="00CF3116" w:rsidP="00A1047D">
      <w:pPr>
        <w:pStyle w:val="Title1LevelTitre1Niveau-AltL"/>
        <w:numPr>
          <w:ilvl w:val="0"/>
          <w:numId w:val="30"/>
        </w:numPr>
        <w:rPr>
          <w:rFonts w:cs="Times New Roman"/>
        </w:rPr>
      </w:pPr>
      <w:bookmarkStart w:id="1" w:name="_Toc11660741"/>
      <w:bookmarkStart w:id="2" w:name="_Toc29195603"/>
      <w:bookmarkStart w:id="3" w:name="_Toc31207757"/>
      <w:bookmarkStart w:id="4" w:name="_Toc32309419"/>
      <w:bookmarkStart w:id="5" w:name="_Toc32852574"/>
      <w:bookmarkStart w:id="6" w:name="_Toc33007288"/>
      <w:r w:rsidRPr="00A1047D">
        <w:rPr>
          <w:rFonts w:cs="Times New Roman"/>
          <w:lang w:val="fr-CA"/>
        </w:rPr>
        <w:t>Aperçu</w:t>
      </w:r>
      <w:bookmarkEnd w:id="1"/>
      <w:bookmarkEnd w:id="2"/>
      <w:bookmarkEnd w:id="3"/>
      <w:bookmarkEnd w:id="4"/>
      <w:bookmarkEnd w:id="5"/>
      <w:bookmarkEnd w:id="6"/>
    </w:p>
    <w:p w:rsidR="00CF3116" w:rsidRPr="00F52D1E" w:rsidRDefault="00CF3116" w:rsidP="00CF3116">
      <w:pPr>
        <w:pStyle w:val="ParaNoNdepar-AltN"/>
        <w:rPr>
          <w:rFonts w:cs="Times New Roman"/>
          <w:lang w:val="fr-CA"/>
        </w:rPr>
      </w:pPr>
      <w:r w:rsidRPr="00F52D1E">
        <w:rPr>
          <w:rFonts w:cs="Times New Roman"/>
          <w:lang w:val="fr-CA"/>
        </w:rPr>
        <w:t>Le présent pourvoi soulève des questions qui se situent à la limite du droit international privé et du droit constitutionnel. Il s’agit de décider si une cour supérieure provinciale (en l’occurrence la Cour supérieure du Québec) a la compétence pour reconnaître l’existence d’un titre ancestral et d’autres droits ancestraux ou issus de traités sur des terres qui sont situées en partie dans une autre province (en l’occurrence la province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et pour entendre des demandes qui sont dirigées contre des parties privées, mais dont le succès dépend de la constatation de l’existence de tels droits. Il s’agit également d’identifier la source des règles de droit régissant la compétence des cours supérieures provinciales dans un tel contexte. </w:t>
      </w:r>
    </w:p>
    <w:p w:rsidR="00CF3116" w:rsidRPr="00F52D1E" w:rsidRDefault="00CF3116" w:rsidP="00CF3116">
      <w:pPr>
        <w:pStyle w:val="ParaNoNdepar-AltN"/>
        <w:rPr>
          <w:rFonts w:cs="Times New Roman"/>
          <w:lang w:val="fr-CA"/>
        </w:rPr>
      </w:pPr>
      <w:r w:rsidRPr="00F52D1E">
        <w:rPr>
          <w:rFonts w:cs="Times New Roman"/>
          <w:lang w:val="fr-CA"/>
        </w:rPr>
        <w:t xml:space="preserve">Nous concluons que la compétence des cours supérieures provinciales est d’abord régie par les règles du droit international privé — lesquelles se trouvent au Québec dans le </w:t>
      </w:r>
      <w:r w:rsidRPr="00F52D1E">
        <w:rPr>
          <w:rFonts w:cs="Times New Roman"/>
          <w:i/>
          <w:lang w:val="fr-CA"/>
        </w:rPr>
        <w:t>Code civil du Québec</w:t>
      </w:r>
      <w:r w:rsidRPr="00F52D1E">
        <w:rPr>
          <w:rFonts w:cs="Times New Roman"/>
          <w:lang w:val="fr-CA"/>
        </w:rPr>
        <w:t xml:space="preserve"> (« </w:t>
      </w:r>
      <w:r w:rsidRPr="00F52D1E">
        <w:rPr>
          <w:rFonts w:cs="Times New Roman"/>
          <w:i/>
          <w:lang w:val="fr-CA"/>
        </w:rPr>
        <w:t>C.c.Q.</w:t>
      </w:r>
      <w:r w:rsidRPr="00F52D1E">
        <w:rPr>
          <w:rFonts w:cs="Times New Roman"/>
          <w:lang w:val="fr-CA"/>
        </w:rPr>
        <w:t> » ou « </w:t>
      </w:r>
      <w:r w:rsidRPr="00F52D1E">
        <w:rPr>
          <w:rFonts w:cs="Times New Roman"/>
          <w:i/>
          <w:lang w:val="fr-CA"/>
        </w:rPr>
        <w:t>Code civil</w:t>
      </w:r>
      <w:r w:rsidRPr="00F52D1E">
        <w:rPr>
          <w:rFonts w:cs="Times New Roman"/>
          <w:lang w:val="fr-CA"/>
        </w:rPr>
        <w:t xml:space="preserve"> »). Le cas échéant, ces règles peuvent ensuite être assujetties à un contrôle constitutionnel au regard des limites territoriales prévues par la Constitution. </w:t>
      </w:r>
    </w:p>
    <w:p w:rsidR="00CF3116" w:rsidRPr="00F52D1E" w:rsidRDefault="00CF3116" w:rsidP="00CF3116">
      <w:pPr>
        <w:pStyle w:val="ParaNoNdepar-AltN"/>
        <w:rPr>
          <w:rFonts w:cs="Times New Roman"/>
          <w:lang w:val="fr-CA"/>
        </w:rPr>
      </w:pPr>
      <w:r w:rsidRPr="00F52D1E">
        <w:rPr>
          <w:rFonts w:cs="Times New Roman"/>
          <w:lang w:val="fr-CA"/>
        </w:rPr>
        <w:t xml:space="preserve">Il n’est pas nécessaire en l’espèce de décider si une législature provinciale aurait le pouvoir constitutionnel de conférer à la cour supérieure de la province la compétence de reconnaître l’existence d’un titre ancestral et d’autres droits ancestraux </w:t>
      </w:r>
      <w:r w:rsidRPr="00F52D1E">
        <w:rPr>
          <w:rFonts w:cs="Times New Roman"/>
          <w:lang w:val="fr-CA"/>
        </w:rPr>
        <w:lastRenderedPageBreak/>
        <w:t xml:space="preserve">ou issus de traités sur des terres qui sont situées à l’extérieur de la province, puisque l’Assemblée nationale du Québec n’a pas conféré une telle compétence à la Cour supérieure du Québec. Il suffit de constater que l’incompétence de la Cour supérieure du Québec n’est certainement pas contraire à la Constitution, puisqu’elle reflète les exigences de courtoisie ou de respect mutuel entre provinces intégrées à la structure fédérale canadienne. </w:t>
      </w:r>
    </w:p>
    <w:p w:rsidR="00CF3116" w:rsidRPr="00F52D1E" w:rsidRDefault="00CF3116" w:rsidP="00CF3116">
      <w:pPr>
        <w:pStyle w:val="ParaNoNdepar-AltN"/>
        <w:rPr>
          <w:rFonts w:cs="Times New Roman"/>
          <w:lang w:val="fr-CA"/>
        </w:rPr>
      </w:pPr>
      <w:r w:rsidRPr="00F52D1E">
        <w:rPr>
          <w:rFonts w:cs="Times New Roman"/>
          <w:lang w:val="fr-CA"/>
        </w:rPr>
        <w:t xml:space="preserve">Nous sommes conscients des difficultés pratiques auxquelles sont confrontés les peuples autochtones du Canada qui souhaitent revendiquer des droits ancestraux sur un seul et même territoire traditionnel qui chevauche les frontières entre différentes provinces. Cependant, les droits ancestraux existent dans les limites du système juridique canadien et la revendication de droits ancestraux devant les tribunaux ne doit donc pas faire entorse à l’organisation juridique et constitutionnelle du Canada. </w:t>
      </w:r>
    </w:p>
    <w:p w:rsidR="00CF3116" w:rsidRPr="00F52D1E" w:rsidRDefault="00CF3116" w:rsidP="00CF3116">
      <w:pPr>
        <w:pStyle w:val="ParaNoNdepar-AltN"/>
        <w:rPr>
          <w:rFonts w:cs="Times New Roman"/>
          <w:lang w:val="fr-CA"/>
        </w:rPr>
      </w:pPr>
      <w:r w:rsidRPr="00F52D1E">
        <w:rPr>
          <w:rFonts w:cs="Times New Roman"/>
          <w:lang w:val="fr-CA"/>
        </w:rPr>
        <w:t>En effet, reconnaître à la Cour supérieure du Québec la compétence de rendre un jugement déclarant l’existence de droits ancestraux sur la partie du Nitassinan située dans la province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aurait d’importantes conséquences sur le fédéralisme canadien. Loin de promouvoir l’accès à la justice ou la réconciliation avec les peuples autochtones, il en résulterait une multiplication des litiges et des délais ainsi qu’une confusion et une perte de confiance envers notre système de justice. Dans les présents motifs, nous explorerons d’ailleurs certaines pistes de solutions procédurales qui permettraient de revendiquer </w:t>
      </w:r>
      <w:r w:rsidRPr="00F52D1E">
        <w:rPr>
          <w:rFonts w:cs="Times New Roman"/>
          <w:i/>
          <w:lang w:val="fr-CA"/>
        </w:rPr>
        <w:t>efficacement</w:t>
      </w:r>
      <w:r w:rsidRPr="00F52D1E">
        <w:rPr>
          <w:rFonts w:cs="Times New Roman"/>
          <w:lang w:val="fr-CA"/>
        </w:rPr>
        <w:t xml:space="preserve"> un titre autochtone sur un territoire qui chevauche les frontières provinciales tout en respectant notre ordre constitutionnel. À notre avis, notre solution favorise davantage la proportionnalité des </w:t>
      </w:r>
      <w:r w:rsidRPr="00F52D1E">
        <w:rPr>
          <w:rFonts w:cs="Times New Roman"/>
          <w:lang w:val="fr-CA"/>
        </w:rPr>
        <w:lastRenderedPageBreak/>
        <w:t xml:space="preserve">procédures et l’accès à la justice que celles mises de l’avant par nos collègues et le procureur général du Canada (« PGC »). </w:t>
      </w:r>
    </w:p>
    <w:p w:rsidR="00CF3116" w:rsidRPr="00F52D1E" w:rsidRDefault="00CF3116" w:rsidP="00CF3116">
      <w:pPr>
        <w:pStyle w:val="Title1LevelTitre1Niveau-AltL"/>
        <w:rPr>
          <w:rFonts w:cs="Times New Roman"/>
          <w:lang w:val="fr-CA"/>
        </w:rPr>
      </w:pPr>
      <w:bookmarkStart w:id="7" w:name="_Toc11660742"/>
      <w:bookmarkStart w:id="8" w:name="_Toc29195604"/>
      <w:bookmarkStart w:id="9" w:name="_Toc31207758"/>
      <w:bookmarkStart w:id="10" w:name="_Toc32309420"/>
      <w:bookmarkStart w:id="11" w:name="_Toc32852575"/>
      <w:bookmarkStart w:id="12" w:name="_Toc33007289"/>
      <w:r w:rsidRPr="00F52D1E">
        <w:rPr>
          <w:rFonts w:cs="Times New Roman"/>
          <w:lang w:val="fr-CA"/>
        </w:rPr>
        <w:t>Contexte</w:t>
      </w:r>
      <w:bookmarkEnd w:id="7"/>
      <w:bookmarkEnd w:id="8"/>
      <w:bookmarkEnd w:id="9"/>
      <w:bookmarkEnd w:id="10"/>
      <w:bookmarkEnd w:id="11"/>
      <w:bookmarkEnd w:id="12"/>
    </w:p>
    <w:p w:rsidR="00CF3116" w:rsidRPr="00F52D1E" w:rsidRDefault="00CF3116" w:rsidP="00CF3116">
      <w:pPr>
        <w:pStyle w:val="ParaNoNdepar-AltN"/>
        <w:rPr>
          <w:rFonts w:cs="Times New Roman"/>
          <w:lang w:val="fr-CA"/>
        </w:rPr>
      </w:pPr>
      <w:r w:rsidRPr="00F52D1E">
        <w:rPr>
          <w:rFonts w:cs="Times New Roman"/>
          <w:lang w:val="fr-CA"/>
        </w:rPr>
        <w:t>Le procureur général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 PGTNL ») appelant se pourvoit contre un jugement de la Cour d’appel du Québec, qui a confirmé un jugement de la Cour supérieure du Québec rejetant sa requête en radiation d’allégations datée du 23 avril 2014 : </w:t>
      </w:r>
      <w:proofErr w:type="gramStart"/>
      <w:r w:rsidRPr="00F52D1E">
        <w:rPr>
          <w:rFonts w:cs="Times New Roman"/>
          <w:lang w:val="fr-CA"/>
        </w:rPr>
        <w:t>d.a.,</w:t>
      </w:r>
      <w:proofErr w:type="gramEnd"/>
      <w:r w:rsidRPr="00F52D1E">
        <w:rPr>
          <w:rFonts w:cs="Times New Roman"/>
          <w:lang w:val="fr-CA"/>
        </w:rPr>
        <w:t xml:space="preserve"> vol. II, p. 90</w:t>
      </w:r>
      <w:r w:rsidRPr="00F52D1E">
        <w:rPr>
          <w:rFonts w:cs="Times New Roman"/>
          <w:lang w:val="fr-CA"/>
        </w:rPr>
        <w:noBreakHyphen/>
        <w:t>93. Par sa requête, le PGTNL souhaite faire radier certaines allégations et conclusions d’une requête introductive d’instance en injonction permanente pour l’obtention de conclusions déclaratoires et en dommages</w:t>
      </w:r>
      <w:r w:rsidRPr="00F52D1E">
        <w:rPr>
          <w:rFonts w:cs="Times New Roman"/>
          <w:lang w:val="fr-CA"/>
        </w:rPr>
        <w:noBreakHyphen/>
        <w:t>intérêts (</w:t>
      </w:r>
      <w:proofErr w:type="gramStart"/>
      <w:r w:rsidRPr="00F52D1E">
        <w:rPr>
          <w:rFonts w:cs="Times New Roman"/>
          <w:lang w:val="fr-CA"/>
        </w:rPr>
        <w:t>d.a.,</w:t>
      </w:r>
      <w:proofErr w:type="gramEnd"/>
      <w:r w:rsidRPr="00F52D1E">
        <w:rPr>
          <w:rFonts w:cs="Times New Roman"/>
          <w:lang w:val="fr-CA"/>
        </w:rPr>
        <w:t xml:space="preserve"> vol. II, p. 1</w:t>
      </w:r>
      <w:r w:rsidRPr="00F52D1E">
        <w:rPr>
          <w:rFonts w:cs="Times New Roman"/>
          <w:lang w:val="fr-CA"/>
        </w:rPr>
        <w:noBreakHyphen/>
        <w:t>40), laquelle est datée du 18 mars 2013 et a été déposée devant la Cour supérieure du Québec par les Innus de Uashat et de Mani</w:t>
      </w:r>
      <w:r w:rsidRPr="00F52D1E">
        <w:rPr>
          <w:rFonts w:cs="Times New Roman"/>
          <w:lang w:val="fr-CA"/>
        </w:rPr>
        <w:noBreakHyphen/>
        <w:t>Utenam et les Innus de Matimekush</w:t>
      </w:r>
      <w:r w:rsidRPr="00F52D1E">
        <w:rPr>
          <w:rFonts w:cs="Times New Roman"/>
          <w:lang w:val="fr-CA"/>
        </w:rPr>
        <w:noBreakHyphen/>
        <w:t xml:space="preserve">Lac John intimés (collectivement les « Innus de UM et MLJ » ou simplement les « Innus »). </w:t>
      </w:r>
    </w:p>
    <w:p w:rsidR="00CF3116" w:rsidRPr="00F52D1E" w:rsidRDefault="00CF3116" w:rsidP="00CF3116">
      <w:pPr>
        <w:pStyle w:val="ParaNoNdepar-AltN"/>
        <w:rPr>
          <w:rFonts w:cs="Times New Roman"/>
          <w:lang w:val="fr-CA"/>
        </w:rPr>
      </w:pPr>
      <w:r w:rsidRPr="00F52D1E">
        <w:rPr>
          <w:rFonts w:cs="Times New Roman"/>
          <w:lang w:val="fr-CA"/>
        </w:rPr>
        <w:t>Les Innus de UM et MLJ forment deux Premières Nations distinctes. Depuis des siècles et jusqu’au milieu du XX</w:t>
      </w:r>
      <w:r w:rsidRPr="00F52D1E">
        <w:rPr>
          <w:rFonts w:cs="Times New Roman"/>
          <w:vertAlign w:val="superscript"/>
          <w:lang w:val="fr-CA"/>
        </w:rPr>
        <w:t>e</w:t>
      </w:r>
      <w:r w:rsidRPr="00F52D1E">
        <w:rPr>
          <w:rFonts w:cs="Times New Roman"/>
          <w:lang w:val="fr-CA"/>
        </w:rPr>
        <w:t xml:space="preserve"> siècle, ils ont occupé un vaste territoire traditionnel, le Nitassinan, qui englobe une partie de la Péninsule Québec</w:t>
      </w:r>
      <w:r w:rsidRPr="00F52D1E">
        <w:rPr>
          <w:rFonts w:cs="Times New Roman"/>
          <w:lang w:val="fr-CA"/>
        </w:rPr>
        <w:noBreakHyphen/>
        <w:t xml:space="preserve">Labrador : p. 3 et 5. Les activités traditionnelles constitutives du mode de vie des Innus de UM et MLJ sur le Nitassinan comprennent la chasse, la pêche, le piégeage et la cueillette : p. 9. </w:t>
      </w:r>
    </w:p>
    <w:p w:rsidR="00CF3116" w:rsidRPr="00F52D1E" w:rsidRDefault="00CF3116" w:rsidP="00CF3116">
      <w:pPr>
        <w:pStyle w:val="ParaNoNdepar-AltN"/>
        <w:rPr>
          <w:rFonts w:cs="Times New Roman"/>
          <w:lang w:val="fr-CA"/>
        </w:rPr>
      </w:pPr>
      <w:r w:rsidRPr="00F52D1E">
        <w:rPr>
          <w:rFonts w:cs="Times New Roman"/>
          <w:lang w:val="fr-CA"/>
        </w:rPr>
        <w:t xml:space="preserve">Par leur requête introductive d’instance, les Innus de UM et MLJ souhaitent essentiellement établir la responsabilité civile extracontractuelle des défenderesses </w:t>
      </w:r>
      <w:r w:rsidRPr="00F52D1E">
        <w:rPr>
          <w:rFonts w:cs="Times New Roman"/>
          <w:lang w:val="fr-CA"/>
        </w:rPr>
        <w:lastRenderedPageBreak/>
        <w:t xml:space="preserve">Compagnie minière IOC (« IOC ») et Compagnie de chemin de fer du littoral nord de Québec et du Labrador inc. (« QNS&amp;L »), une société détenue par IOC. </w:t>
      </w:r>
    </w:p>
    <w:p w:rsidR="00CF3116" w:rsidRPr="00F52D1E" w:rsidRDefault="00CF3116" w:rsidP="00CF3116">
      <w:pPr>
        <w:pStyle w:val="ParaNoNdepar-AltN"/>
        <w:rPr>
          <w:rFonts w:cs="Times New Roman"/>
          <w:lang w:val="fr-CA"/>
        </w:rPr>
      </w:pPr>
      <w:r w:rsidRPr="00F52D1E">
        <w:rPr>
          <w:rFonts w:cs="Times New Roman"/>
          <w:lang w:val="fr-CA"/>
        </w:rPr>
        <w:t>Les défenderesses IOC et QNS&amp;L sont domiciliées à Montréal, au Québec : p. 6</w:t>
      </w:r>
      <w:r w:rsidRPr="00F52D1E">
        <w:rPr>
          <w:rFonts w:cs="Times New Roman"/>
          <w:lang w:val="fr-CA"/>
        </w:rPr>
        <w:noBreakHyphen/>
        <w:t>7. Vers le milieu du XX</w:t>
      </w:r>
      <w:r w:rsidRPr="00F52D1E">
        <w:rPr>
          <w:rFonts w:cs="Times New Roman"/>
          <w:vertAlign w:val="superscript"/>
          <w:lang w:val="fr-CA"/>
        </w:rPr>
        <w:t>e</w:t>
      </w:r>
      <w:r w:rsidRPr="00F52D1E">
        <w:rPr>
          <w:rFonts w:cs="Times New Roman"/>
          <w:lang w:val="fr-CA"/>
        </w:rPr>
        <w:t xml:space="preserve"> siècle, elles ont procédé à la construction d’un « mégaprojet d’exploitation minière » dans le Nitassinan, et ce, sans le consentement des Innus de UM et MLJ : p. 3. Ce mégaprojet consiste notamment en l’aménagement et l’exploitation de mines de fer et d’ouvrages connexes près de Schefferville et de Labrador City, d’un chemin de fer de 578 km entre Sept</w:t>
      </w:r>
      <w:r w:rsidRPr="00F52D1E">
        <w:rPr>
          <w:rFonts w:cs="Times New Roman"/>
          <w:lang w:val="fr-CA"/>
        </w:rPr>
        <w:noBreakHyphen/>
        <w:t>Îles et Schefferville, d’installations portuaires à Sept</w:t>
      </w:r>
      <w:r w:rsidRPr="00F52D1E">
        <w:rPr>
          <w:rFonts w:cs="Times New Roman"/>
          <w:lang w:val="fr-CA"/>
        </w:rPr>
        <w:noBreakHyphen/>
        <w:t>Îles et de complexes hydroélectriques : p. 3 et 6</w:t>
      </w:r>
      <w:r w:rsidRPr="00F52D1E">
        <w:rPr>
          <w:rFonts w:cs="Times New Roman"/>
          <w:lang w:val="fr-CA"/>
        </w:rPr>
        <w:noBreakHyphen/>
        <w:t xml:space="preserve">7. </w:t>
      </w:r>
    </w:p>
    <w:p w:rsidR="00CF3116" w:rsidRPr="00F52D1E" w:rsidRDefault="00CF3116" w:rsidP="00CF3116">
      <w:pPr>
        <w:pStyle w:val="ParaNoNdepar-AltN"/>
        <w:rPr>
          <w:rFonts w:cs="Times New Roman"/>
          <w:lang w:val="fr-CA"/>
        </w:rPr>
      </w:pPr>
      <w:r w:rsidRPr="00F52D1E">
        <w:rPr>
          <w:rFonts w:cs="Times New Roman"/>
          <w:lang w:val="fr-CA"/>
        </w:rPr>
        <w:t>Les Innus de UM et MLJ soutiennent être titulaires d’un titre ancestral et d’autres droits ancestraux ou issus de traités</w:t>
      </w:r>
      <w:r w:rsidRPr="000909FB">
        <w:rPr>
          <w:rStyle w:val="Hyperlink"/>
          <w:color w:val="auto"/>
          <w:u w:val="none"/>
          <w:vertAlign w:val="superscript"/>
        </w:rPr>
        <w:footnoteReference w:id="1"/>
      </w:r>
      <w:r w:rsidRPr="00F52D1E">
        <w:rPr>
          <w:rFonts w:cs="Times New Roman"/>
          <w:lang w:val="fr-CA"/>
        </w:rPr>
        <w:t xml:space="preserve"> sur </w:t>
      </w:r>
      <w:r w:rsidRPr="00F52D1E">
        <w:rPr>
          <w:rFonts w:cs="Times New Roman"/>
          <w:i/>
          <w:lang w:val="fr-CA"/>
        </w:rPr>
        <w:t>tout</w:t>
      </w:r>
      <w:r w:rsidRPr="00F52D1E">
        <w:rPr>
          <w:rFonts w:cs="Times New Roman"/>
          <w:lang w:val="fr-CA"/>
        </w:rPr>
        <w:t xml:space="preserve"> le Nitassinan (p. 10</w:t>
      </w:r>
      <w:r w:rsidRPr="00F52D1E">
        <w:rPr>
          <w:rFonts w:cs="Times New Roman"/>
          <w:lang w:val="fr-CA"/>
        </w:rPr>
        <w:noBreakHyphen/>
        <w:t>11 et 30</w:t>
      </w:r>
      <w:r w:rsidRPr="00F52D1E">
        <w:rPr>
          <w:rFonts w:cs="Times New Roman"/>
          <w:lang w:val="fr-CA"/>
        </w:rPr>
        <w:noBreakHyphen/>
        <w:t>31), mais en particulier sur les parties de ce territoire qui, au Québec et au Labrador, sont affectées par le mégaprojet d’IOC (p. 5, 10</w:t>
      </w:r>
      <w:r w:rsidRPr="00F52D1E">
        <w:rPr>
          <w:rFonts w:cs="Times New Roman"/>
          <w:lang w:val="fr-CA"/>
        </w:rPr>
        <w:noBreakHyphen/>
        <w:t>11 et 30</w:t>
      </w:r>
      <w:r w:rsidRPr="00F52D1E">
        <w:rPr>
          <w:rFonts w:cs="Times New Roman"/>
          <w:lang w:val="fr-CA"/>
        </w:rPr>
        <w:noBreakHyphen/>
        <w:t>31). Ce titre et ces droits « </w:t>
      </w:r>
      <w:proofErr w:type="gramStart"/>
      <w:r w:rsidRPr="00F52D1E">
        <w:rPr>
          <w:rFonts w:cs="Times New Roman"/>
          <w:lang w:val="fr-CA"/>
        </w:rPr>
        <w:t>inclu[</w:t>
      </w:r>
      <w:proofErr w:type="gramEnd"/>
      <w:r w:rsidRPr="00F52D1E">
        <w:rPr>
          <w:rFonts w:cs="Times New Roman"/>
          <w:lang w:val="fr-CA"/>
        </w:rPr>
        <w:t xml:space="preserve">raient] la propriété et l’usage exclusif » de ces parties du Nitassinan et des ressources naturelles qui s’y trouvent : Avis de questions constitutionnelles, d.a., vol. II, p. 113. Les opérations, installations et activités des défenderesses IOC et QNS&amp;L sur le Nitassinan porteraient atteinte au titre ancestral et aux autres droits ancestraux ou issus de traités des Innus de UM et MLJ, ce qui constituerait une faute civile visée à l’art. 1457 </w:t>
      </w:r>
      <w:r w:rsidRPr="00F52D1E">
        <w:rPr>
          <w:rFonts w:cs="Times New Roman"/>
          <w:i/>
          <w:lang w:val="fr-CA"/>
        </w:rPr>
        <w:t>C.c.Q.</w:t>
      </w:r>
      <w:r w:rsidRPr="00F52D1E">
        <w:rPr>
          <w:rFonts w:cs="Times New Roman"/>
          <w:lang w:val="fr-CA"/>
        </w:rPr>
        <w:t xml:space="preserve"> : Requête introductive d’instance, </w:t>
      </w:r>
      <w:proofErr w:type="gramStart"/>
      <w:r w:rsidRPr="00F52D1E">
        <w:rPr>
          <w:rFonts w:cs="Times New Roman"/>
          <w:lang w:val="fr-CA"/>
        </w:rPr>
        <w:t>d.a.,</w:t>
      </w:r>
      <w:proofErr w:type="gramEnd"/>
      <w:r w:rsidRPr="00F52D1E">
        <w:rPr>
          <w:rFonts w:cs="Times New Roman"/>
          <w:lang w:val="fr-CA"/>
        </w:rPr>
        <w:t xml:space="preserve"> vol. II, </w:t>
      </w:r>
      <w:r w:rsidRPr="00F52D1E">
        <w:rPr>
          <w:rFonts w:cs="Times New Roman"/>
          <w:lang w:val="fr-CA"/>
        </w:rPr>
        <w:lastRenderedPageBreak/>
        <w:t>p. 24</w:t>
      </w:r>
      <w:r w:rsidRPr="00F52D1E">
        <w:rPr>
          <w:rFonts w:cs="Times New Roman"/>
          <w:lang w:val="fr-CA"/>
        </w:rPr>
        <w:noBreakHyphen/>
        <w:t>28</w:t>
      </w:r>
      <w:r w:rsidR="000909FB">
        <w:rPr>
          <w:rFonts w:cs="Times New Roman"/>
          <w:lang w:val="fr-CA"/>
        </w:rPr>
        <w:t>.</w:t>
      </w:r>
      <w:r w:rsidRPr="000909FB">
        <w:rPr>
          <w:rStyle w:val="Hyperlink"/>
          <w:color w:val="auto"/>
          <w:u w:val="none"/>
          <w:vertAlign w:val="superscript"/>
        </w:rPr>
        <w:footnoteReference w:id="2"/>
      </w:r>
      <w:r w:rsidRPr="00F52D1E">
        <w:rPr>
          <w:rFonts w:cs="Times New Roman"/>
          <w:lang w:val="fr-CA"/>
        </w:rPr>
        <w:t xml:space="preserve"> Les Innus se fondent également sur la responsabilité sans faute visée à l’art. 976 </w:t>
      </w:r>
      <w:r w:rsidRPr="00F52D1E">
        <w:rPr>
          <w:rFonts w:cs="Times New Roman"/>
          <w:i/>
          <w:lang w:val="fr-CA"/>
        </w:rPr>
        <w:t>C.c.Q.</w:t>
      </w:r>
      <w:r w:rsidRPr="00F52D1E">
        <w:rPr>
          <w:rFonts w:cs="Times New Roman"/>
          <w:lang w:val="fr-CA"/>
        </w:rPr>
        <w:t xml:space="preserve"> en matière de troubles de voisinage : par. 28</w:t>
      </w:r>
      <w:r w:rsidRPr="00F52D1E">
        <w:rPr>
          <w:rFonts w:cs="Times New Roman"/>
          <w:lang w:val="fr-CA"/>
        </w:rPr>
        <w:noBreakHyphen/>
        <w:t xml:space="preserve">29. </w:t>
      </w:r>
    </w:p>
    <w:p w:rsidR="00CF3116" w:rsidRPr="00F52D1E" w:rsidRDefault="00CF3116" w:rsidP="00CF3116">
      <w:pPr>
        <w:pStyle w:val="ParaNoNdepar-AltN"/>
        <w:rPr>
          <w:rFonts w:cs="Times New Roman"/>
          <w:lang w:val="fr-CA"/>
        </w:rPr>
      </w:pPr>
      <w:r w:rsidRPr="00F52D1E">
        <w:rPr>
          <w:rFonts w:cs="Times New Roman"/>
          <w:lang w:val="fr-CA"/>
        </w:rPr>
        <w:t>En guise de réparation, les Innus de UM et MLJ demandent </w:t>
      </w:r>
    </w:p>
    <w:p w:rsidR="00CF3116" w:rsidRPr="00F52D1E" w:rsidRDefault="00CF3116" w:rsidP="000A1C18">
      <w:pPr>
        <w:pStyle w:val="Citation-AltC"/>
        <w:numPr>
          <w:ilvl w:val="3"/>
          <w:numId w:val="1"/>
        </w:numPr>
        <w:ind w:left="450" w:hanging="450"/>
        <w:rPr>
          <w:lang w:val="fr-CA"/>
        </w:rPr>
      </w:pPr>
      <w:r w:rsidRPr="00F52D1E">
        <w:rPr>
          <w:lang w:val="fr-CA"/>
        </w:rPr>
        <w:t>« des remèdes déclaratoires [. . .] contre les défenderesses, y compris des déclarations que les installations industrielles, portuaires et ferroviaires des défenderesses appartiennent aux Innus de UM</w:t>
      </w:r>
      <w:r w:rsidRPr="00F52D1E">
        <w:rPr>
          <w:lang w:val="fr-CA"/>
        </w:rPr>
        <w:noBreakHyphen/>
        <w:t xml:space="preserve">MLJ ou à tout le moins sont sujettes au titre [ancestral] et aux [autres droits] ancestraux » et « une déclaration que le mégaprojet d’IOC et notamment les opérations, installations et activités des défenderesses violent le titre [ancestral], les [autres] droits ancestraux et les droits issus de traités » (p. 30); </w:t>
      </w:r>
    </w:p>
    <w:p w:rsidR="00CF3116" w:rsidRPr="00F52D1E" w:rsidRDefault="00CF3116" w:rsidP="00CF3116">
      <w:pPr>
        <w:pStyle w:val="Citation-AltC"/>
        <w:ind w:left="1526"/>
        <w:rPr>
          <w:lang w:val="fr-CA"/>
        </w:rPr>
      </w:pPr>
    </w:p>
    <w:p w:rsidR="00CF3116" w:rsidRPr="00F52D1E" w:rsidRDefault="00CF3116" w:rsidP="000A1C18">
      <w:pPr>
        <w:pStyle w:val="Citation-AltC"/>
        <w:numPr>
          <w:ilvl w:val="3"/>
          <w:numId w:val="1"/>
        </w:numPr>
        <w:ind w:left="450" w:hanging="450"/>
        <w:rPr>
          <w:lang w:val="fr-CA"/>
        </w:rPr>
      </w:pPr>
      <w:r w:rsidRPr="00F52D1E">
        <w:rPr>
          <w:lang w:val="fr-CA"/>
        </w:rPr>
        <w:t>l’émission d’une injonction permanente afin de faire cesser les opérations, installations et activités des défenderesses (p. 28</w:t>
      </w:r>
      <w:r w:rsidRPr="00F52D1E">
        <w:rPr>
          <w:lang w:val="fr-CA"/>
        </w:rPr>
        <w:noBreakHyphen/>
        <w:t xml:space="preserve">30); </w:t>
      </w:r>
    </w:p>
    <w:p w:rsidR="00CF3116" w:rsidRPr="00F52D1E" w:rsidRDefault="00CF3116" w:rsidP="00CF3116">
      <w:pPr>
        <w:pStyle w:val="Citation-AltC"/>
        <w:ind w:left="1526"/>
        <w:rPr>
          <w:lang w:val="fr-CA"/>
        </w:rPr>
      </w:pPr>
    </w:p>
    <w:p w:rsidR="00CF3116" w:rsidRPr="00F52D1E" w:rsidRDefault="00CF3116" w:rsidP="000A1C18">
      <w:pPr>
        <w:pStyle w:val="Citation-AltC"/>
        <w:numPr>
          <w:ilvl w:val="3"/>
          <w:numId w:val="1"/>
        </w:numPr>
        <w:ind w:left="450" w:hanging="450"/>
        <w:rPr>
          <w:lang w:val="fr-CA"/>
        </w:rPr>
      </w:pPr>
      <w:r w:rsidRPr="00F52D1E">
        <w:rPr>
          <w:lang w:val="fr-CA"/>
        </w:rPr>
        <w:t>la condamnation des défenderesses solidairement au paiement de 900 millions de dollars à titre de dommages</w:t>
      </w:r>
      <w:r w:rsidRPr="00F52D1E">
        <w:rPr>
          <w:lang w:val="fr-CA"/>
        </w:rPr>
        <w:noBreakHyphen/>
        <w:t xml:space="preserve">intérêts (p. 28); </w:t>
      </w:r>
    </w:p>
    <w:p w:rsidR="00CF3116" w:rsidRPr="00F52D1E" w:rsidRDefault="00CF3116" w:rsidP="00CF3116">
      <w:pPr>
        <w:pStyle w:val="Citation-AltC"/>
        <w:ind w:left="1526"/>
        <w:rPr>
          <w:lang w:val="fr-CA"/>
        </w:rPr>
      </w:pPr>
    </w:p>
    <w:p w:rsidR="00CF3116" w:rsidRPr="00F52D1E" w:rsidRDefault="00CF3116" w:rsidP="000A1C18">
      <w:pPr>
        <w:pStyle w:val="Citation-AltC"/>
        <w:numPr>
          <w:ilvl w:val="3"/>
          <w:numId w:val="1"/>
        </w:numPr>
        <w:ind w:left="450" w:hanging="450"/>
        <w:rPr>
          <w:lang w:val="fr-CA"/>
        </w:rPr>
      </w:pPr>
      <w:r w:rsidRPr="00F52D1E">
        <w:rPr>
          <w:lang w:val="fr-CA"/>
        </w:rPr>
        <w:t>« une reddition de compte en regard de la totalité des profits générés par l’exploitation par les défenderesses du Nitassinan » (p. 28) ainsi que divers remèdes de nature fiduciaire ([</w:t>
      </w:r>
      <w:r w:rsidRPr="00F52D1E">
        <w:rPr>
          <w:smallCaps/>
          <w:lang w:val="fr-CA"/>
        </w:rPr>
        <w:t>traduction</w:t>
      </w:r>
      <w:r w:rsidRPr="00F52D1E">
        <w:rPr>
          <w:lang w:val="fr-CA"/>
        </w:rPr>
        <w:t xml:space="preserve">] « fiducie constructoire », « fiducie de common law » et « fiducie ») ou fondés sur l’administration du bien d’autrui (art. 1299 </w:t>
      </w:r>
      <w:r w:rsidRPr="00F52D1E">
        <w:rPr>
          <w:i/>
          <w:lang w:val="fr-CA"/>
        </w:rPr>
        <w:t>C.c.Q.</w:t>
      </w:r>
      <w:r w:rsidRPr="00F52D1E">
        <w:rPr>
          <w:lang w:val="fr-CA"/>
        </w:rPr>
        <w:t>) à l’égard des revenus, ouvrages, installations et activités des défenderesses (p. 30).</w:t>
      </w:r>
    </w:p>
    <w:p w:rsidR="00CF3116" w:rsidRPr="00F52D1E" w:rsidRDefault="00CF3116" w:rsidP="00CF3116">
      <w:pPr>
        <w:pStyle w:val="ParaNoNdepar-AltN"/>
        <w:rPr>
          <w:rFonts w:cs="Times New Roman"/>
        </w:rPr>
      </w:pPr>
      <w:r w:rsidRPr="00F52D1E">
        <w:rPr>
          <w:rFonts w:cs="Times New Roman"/>
          <w:lang w:val="fr-CA"/>
        </w:rPr>
        <w:t>Le 23 avril 2014, après avoir déposé une requête en intervention devant la Cour supérieure du Québec, le PGTNL a déposé une requête en radiation d’allégations, visant les allégations et conclusions de la requête introductive d’instance des Innus, dans la mesure où elles portent sur les parties du Nitassinan qui sont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Le PGTNL soumet que les terres qui sont visées par l’action des Innus et qui sont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app</w:t>
      </w:r>
      <w:r w:rsidR="00E51CCA">
        <w:rPr>
          <w:rFonts w:cs="Times New Roman"/>
          <w:lang w:val="fr-CA"/>
        </w:rPr>
        <w:t>artiennent à la Couronne</w:t>
      </w:r>
      <w:r w:rsidRPr="00F52D1E">
        <w:rPr>
          <w:rFonts w:cs="Times New Roman"/>
          <w:lang w:val="fr-CA"/>
        </w:rPr>
        <w:t xml:space="preserve"> </w:t>
      </w:r>
      <w:r w:rsidRPr="00F52D1E">
        <w:rPr>
          <w:rFonts w:cs="Times New Roman"/>
          <w:lang w:val="fr-CA"/>
        </w:rPr>
        <w:lastRenderedPageBreak/>
        <w:t>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 requête en radiation d’allégations, d.a. vol. II, p. 92; </w:t>
      </w:r>
      <w:proofErr w:type="gramStart"/>
      <w:r w:rsidRPr="00F52D1E">
        <w:rPr>
          <w:rFonts w:cs="Times New Roman"/>
          <w:lang w:val="fr-CA"/>
        </w:rPr>
        <w:t>m.a.,</w:t>
      </w:r>
      <w:proofErr w:type="gramEnd"/>
      <w:r w:rsidRPr="00F52D1E">
        <w:rPr>
          <w:rFonts w:cs="Times New Roman"/>
          <w:lang w:val="fr-CA"/>
        </w:rPr>
        <w:t xml:space="preserve"> par. 48 et 61; transcriptions, p. 24</w:t>
      </w:r>
      <w:r w:rsidRPr="00F52D1E">
        <w:rPr>
          <w:rFonts w:cs="Times New Roman"/>
          <w:lang w:val="fr-CA"/>
        </w:rPr>
        <w:noBreakHyphen/>
        <w:t>25. La requête en radiation d’allégations du PGTNL est en réalité un moyen déclinatoire fondé sur l’absence de compétence des autorités québécoises à l’égard des « paragraphes de la procédure qui touchent le territoire de Terre</w:t>
      </w:r>
      <w:r w:rsidRPr="00F52D1E">
        <w:rPr>
          <w:rFonts w:cs="Times New Roman"/>
          <w:lang w:val="fr-CA"/>
        </w:rPr>
        <w:noBreakHyphen/>
        <w:t>Neuve</w:t>
      </w:r>
      <w:r w:rsidRPr="00F52D1E">
        <w:rPr>
          <w:rFonts w:cs="Times New Roman"/>
          <w:lang w:val="fr-CA"/>
        </w:rPr>
        <w:noBreakHyphen/>
        <w:t xml:space="preserve">Labrador » : </w:t>
      </w:r>
      <w:r w:rsidRPr="00F52D1E">
        <w:rPr>
          <w:rFonts w:cs="Times New Roman"/>
          <w:i/>
          <w:lang w:val="fr-CA"/>
        </w:rPr>
        <w:t>Procureur général de Terre</w:t>
      </w:r>
      <w:r w:rsidRPr="00F52D1E">
        <w:rPr>
          <w:rFonts w:cs="Times New Roman"/>
          <w:i/>
          <w:lang w:val="fr-CA"/>
        </w:rPr>
        <w:noBreakHyphen/>
        <w:t>Neuve</w:t>
      </w:r>
      <w:r w:rsidRPr="00F52D1E">
        <w:rPr>
          <w:rFonts w:cs="Times New Roman"/>
          <w:i/>
          <w:lang w:val="fr-CA"/>
        </w:rPr>
        <w:noBreakHyphen/>
        <w:t>Labrador c. Uashaunnuat (Innus de Uashat et de Mani</w:t>
      </w:r>
      <w:r w:rsidRPr="00F52D1E">
        <w:rPr>
          <w:rFonts w:cs="Times New Roman"/>
          <w:i/>
          <w:lang w:val="fr-CA"/>
        </w:rPr>
        <w:noBreakHyphen/>
        <w:t>Utenam)</w:t>
      </w:r>
      <w:r w:rsidRPr="00F52D1E">
        <w:rPr>
          <w:rFonts w:cs="Times New Roman"/>
          <w:lang w:val="fr-CA"/>
        </w:rPr>
        <w:t xml:space="preserve">, 2017 QCCA 14, par. 14 (CanLII). Un tel moyen déclinatoire doit être tranché </w:t>
      </w:r>
      <w:r w:rsidRPr="00F52D1E">
        <w:rPr>
          <w:rFonts w:cs="Times New Roman"/>
          <w:i/>
          <w:lang w:val="fr-CA"/>
        </w:rPr>
        <w:t>in limine litis</w:t>
      </w:r>
      <w:r w:rsidRPr="00F52D1E">
        <w:rPr>
          <w:rFonts w:cs="Times New Roman"/>
          <w:lang w:val="fr-CA"/>
        </w:rPr>
        <w:t xml:space="preserve"> : A. Rochon, avec la collaboration de F. Le Colleter, </w:t>
      </w:r>
      <w:r w:rsidRPr="00F52D1E">
        <w:rPr>
          <w:rFonts w:cs="Times New Roman"/>
          <w:i/>
          <w:lang w:val="fr-CA"/>
        </w:rPr>
        <w:t>Guide des requêtes devant le juge unique de la Cour d’appel : Procédure et pratique</w:t>
      </w:r>
      <w:r w:rsidRPr="00F52D1E">
        <w:rPr>
          <w:rFonts w:cs="Times New Roman"/>
          <w:lang w:val="fr-CA"/>
        </w:rPr>
        <w:t xml:space="preserve"> (2013), p. 77; </w:t>
      </w:r>
      <w:r w:rsidRPr="00F52D1E">
        <w:rPr>
          <w:rFonts w:cs="Times New Roman"/>
          <w:i/>
          <w:lang w:val="fr-CA"/>
        </w:rPr>
        <w:t>Transax Technologies inc. c. Red Baron Corp. </w:t>
      </w:r>
      <w:r w:rsidRPr="00F52D1E">
        <w:rPr>
          <w:rFonts w:cs="Times New Roman"/>
          <w:i/>
        </w:rPr>
        <w:t>Ltd</w:t>
      </w:r>
      <w:r w:rsidRPr="00F52D1E">
        <w:rPr>
          <w:rFonts w:cs="Times New Roman"/>
        </w:rPr>
        <w:t>, 2016 QCCA 1432, par. 6 (CanLII).</w:t>
      </w:r>
    </w:p>
    <w:p w:rsidR="00CF3116" w:rsidRPr="00F52D1E" w:rsidRDefault="00CF3116" w:rsidP="00CF3116">
      <w:pPr>
        <w:pStyle w:val="ParaNoNdepar-AltN"/>
        <w:rPr>
          <w:rFonts w:cs="Times New Roman"/>
          <w:lang w:val="fr-CA"/>
        </w:rPr>
      </w:pPr>
      <w:r w:rsidRPr="00F52D1E">
        <w:rPr>
          <w:rFonts w:cs="Times New Roman"/>
          <w:lang w:val="fr-CA"/>
        </w:rPr>
        <w:t xml:space="preserve">Le 29 avril 2014, le juge Blanchard a ordonné aux Innus d’envoyer un avis de questions constitutionnelles conforme à l’art. 95 de l’ancien </w:t>
      </w:r>
      <w:r w:rsidRPr="00F52D1E">
        <w:rPr>
          <w:rFonts w:cs="Times New Roman"/>
          <w:i/>
          <w:lang w:val="fr-CA"/>
        </w:rPr>
        <w:t>Code de procédure civile</w:t>
      </w:r>
      <w:r w:rsidRPr="00F52D1E">
        <w:rPr>
          <w:rFonts w:cs="Times New Roman"/>
          <w:lang w:val="fr-CA"/>
        </w:rPr>
        <w:t>, RLRQ, c. C</w:t>
      </w:r>
      <w:r w:rsidRPr="00F52D1E">
        <w:rPr>
          <w:rFonts w:cs="Times New Roman"/>
          <w:lang w:val="fr-CA"/>
        </w:rPr>
        <w:noBreakHyphen/>
        <w:t>25 (« a.</w:t>
      </w:r>
      <w:r w:rsidRPr="00F52D1E">
        <w:rPr>
          <w:rFonts w:cs="Times New Roman"/>
          <w:i/>
          <w:lang w:val="fr-CA"/>
        </w:rPr>
        <w:t>C.p.c.</w:t>
      </w:r>
      <w:r w:rsidRPr="00F52D1E">
        <w:rPr>
          <w:rFonts w:cs="Times New Roman"/>
          <w:lang w:val="fr-CA"/>
        </w:rPr>
        <w:t> ») aux procureurs généraux du Québec, du Canada et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au motif qu’« [i]l ne fait [. . .] aucun doute que [. . .] les allégations et les conclusions [de la requête introductive d’instance des Innus] mettent en cause les droits constitutionnels du Canada, de la Province de Québec et de la Province de Terre</w:t>
      </w:r>
      <w:r w:rsidRPr="00F52D1E">
        <w:rPr>
          <w:rFonts w:cs="Times New Roman"/>
          <w:lang w:val="fr-CA"/>
        </w:rPr>
        <w:noBreakHyphen/>
        <w:t xml:space="preserve">Neuve et Labrador » : </w:t>
      </w:r>
      <w:r w:rsidRPr="00F52D1E">
        <w:rPr>
          <w:rFonts w:cs="Times New Roman"/>
          <w:i/>
          <w:lang w:val="fr-CA"/>
        </w:rPr>
        <w:t>Uashaunnuat (Innus de Uashat et de Mani</w:t>
      </w:r>
      <w:r w:rsidRPr="00F52D1E">
        <w:rPr>
          <w:rFonts w:cs="Times New Roman"/>
          <w:i/>
          <w:lang w:val="fr-CA"/>
        </w:rPr>
        <w:noBreakHyphen/>
        <w:t>Utenam) c. Compagnie minière IOC inc. (Iron Ore Company of Canada)</w:t>
      </w:r>
      <w:r w:rsidRPr="00F52D1E">
        <w:rPr>
          <w:rFonts w:cs="Times New Roman"/>
          <w:lang w:val="fr-CA"/>
        </w:rPr>
        <w:t>, 2014 QCCS 2051, par. 5 (CanLII) (« jugement de la C.S. ordonnant la signification d’un avis de q</w:t>
      </w:r>
      <w:r w:rsidR="009E2F25">
        <w:rPr>
          <w:rFonts w:cs="Times New Roman"/>
          <w:lang w:val="fr-CA"/>
        </w:rPr>
        <w:t>uestions constitutionnelles »).</w:t>
      </w:r>
    </w:p>
    <w:p w:rsidR="00CF3116" w:rsidRPr="00F52D1E" w:rsidRDefault="00CF3116" w:rsidP="00CF3116">
      <w:pPr>
        <w:pStyle w:val="ParaNoNdepar-AltN"/>
        <w:rPr>
          <w:rFonts w:cs="Times New Roman"/>
          <w:lang w:val="fr-CA"/>
        </w:rPr>
      </w:pPr>
      <w:r w:rsidRPr="00F52D1E">
        <w:rPr>
          <w:rFonts w:cs="Times New Roman"/>
          <w:lang w:val="fr-CA"/>
        </w:rPr>
        <w:t xml:space="preserve">Le 26 avril 2016, le juge Davis a autorisé l’intervention du PGTNL devant la Cour supérieure du Québec : </w:t>
      </w:r>
      <w:r w:rsidRPr="00F52D1E">
        <w:rPr>
          <w:rFonts w:cs="Times New Roman"/>
          <w:i/>
          <w:lang w:val="fr-CA"/>
        </w:rPr>
        <w:t>Uashaunnuat (Innus de Uashat et de Mani</w:t>
      </w:r>
      <w:r w:rsidRPr="00F52D1E">
        <w:rPr>
          <w:rFonts w:cs="Times New Roman"/>
          <w:i/>
          <w:lang w:val="fr-CA"/>
        </w:rPr>
        <w:noBreakHyphen/>
        <w:t xml:space="preserve">Utenam) c. </w:t>
      </w:r>
      <w:r w:rsidRPr="00F52D1E">
        <w:rPr>
          <w:rFonts w:cs="Times New Roman"/>
          <w:i/>
          <w:lang w:val="fr-CA"/>
        </w:rPr>
        <w:lastRenderedPageBreak/>
        <w:t>Compagnie minière IOC inc. (Iron Ore Company of Canada)</w:t>
      </w:r>
      <w:r w:rsidRPr="00F52D1E">
        <w:rPr>
          <w:rFonts w:cs="Times New Roman"/>
          <w:lang w:val="fr-CA"/>
        </w:rPr>
        <w:t>, 2016 QCCS 1958 (« jugement de la C.S. autoris</w:t>
      </w:r>
      <w:r w:rsidR="009E2F25">
        <w:rPr>
          <w:rFonts w:cs="Times New Roman"/>
          <w:lang w:val="fr-CA"/>
        </w:rPr>
        <w:t>ant l’intervention du PGTNL »).</w:t>
      </w:r>
    </w:p>
    <w:p w:rsidR="00CF3116" w:rsidRPr="00F52D1E" w:rsidRDefault="00CF3116" w:rsidP="00CF3116">
      <w:pPr>
        <w:pStyle w:val="Title1LevelTitre1Niveau-AltL"/>
        <w:jc w:val="both"/>
        <w:rPr>
          <w:rFonts w:cs="Times New Roman"/>
          <w:lang w:val="fr-CA"/>
        </w:rPr>
      </w:pPr>
      <w:bookmarkStart w:id="13" w:name="_Toc11660743"/>
      <w:bookmarkStart w:id="14" w:name="_Toc29195605"/>
      <w:bookmarkStart w:id="15" w:name="_Toc31207759"/>
      <w:bookmarkStart w:id="16" w:name="_Toc32309421"/>
      <w:bookmarkStart w:id="17" w:name="_Toc32852576"/>
      <w:bookmarkStart w:id="18" w:name="_Toc33007290"/>
      <w:r w:rsidRPr="00F52D1E">
        <w:rPr>
          <w:rFonts w:cs="Times New Roman"/>
          <w:lang w:val="fr-CA"/>
        </w:rPr>
        <w:t>Décisions des juridictions inférieures</w:t>
      </w:r>
      <w:bookmarkEnd w:id="13"/>
      <w:bookmarkEnd w:id="14"/>
      <w:bookmarkEnd w:id="15"/>
      <w:bookmarkEnd w:id="16"/>
      <w:bookmarkEnd w:id="17"/>
      <w:bookmarkEnd w:id="18"/>
    </w:p>
    <w:p w:rsidR="00CF3116" w:rsidRPr="00F52D1E" w:rsidRDefault="00CF3116" w:rsidP="00CF3116">
      <w:pPr>
        <w:pStyle w:val="Title2LevelTitre2Niveau"/>
        <w:jc w:val="both"/>
        <w:rPr>
          <w:rFonts w:cs="Times New Roman"/>
          <w:lang w:val="fr-CA"/>
        </w:rPr>
      </w:pPr>
      <w:bookmarkStart w:id="19" w:name="_Toc11660744"/>
      <w:bookmarkStart w:id="20" w:name="_Toc29195606"/>
      <w:bookmarkStart w:id="21" w:name="_Toc31207760"/>
      <w:bookmarkStart w:id="22" w:name="_Toc32309422"/>
      <w:bookmarkStart w:id="23" w:name="_Toc32852577"/>
      <w:bookmarkStart w:id="24" w:name="_Toc33007291"/>
      <w:r w:rsidRPr="00F52D1E">
        <w:rPr>
          <w:rFonts w:cs="Times New Roman"/>
          <w:lang w:val="fr-CA"/>
        </w:rPr>
        <w:t>Cour supérieure du Québec, 2016 QCCS 5133 (le juge Davis)</w:t>
      </w:r>
      <w:bookmarkEnd w:id="19"/>
      <w:bookmarkEnd w:id="20"/>
      <w:bookmarkEnd w:id="21"/>
      <w:bookmarkEnd w:id="22"/>
      <w:bookmarkEnd w:id="23"/>
      <w:bookmarkEnd w:id="24"/>
    </w:p>
    <w:p w:rsidR="00CF3116" w:rsidRPr="00F52D1E" w:rsidRDefault="00CF3116" w:rsidP="00CF3116">
      <w:pPr>
        <w:pStyle w:val="ParaNoNdepar-AltN"/>
        <w:rPr>
          <w:rFonts w:cs="Times New Roman"/>
          <w:lang w:val="fr-CA"/>
        </w:rPr>
      </w:pPr>
      <w:r w:rsidRPr="00F52D1E">
        <w:rPr>
          <w:rFonts w:cs="Times New Roman"/>
          <w:lang w:val="fr-CA"/>
        </w:rPr>
        <w:t>Le juge de la Cour supérieure s’est prononcé sur la requête en radiation d’allégations du PGTNL. À son avis, la solution à cette requête « repose sur la détermination de la nature du recours intenté par les Innus » : par. 48 (CanLII). À cet égard, le juge a noté que « les Innus soutiennent que le titre ancestral qu’ils pourraient posséder dans le Nitassinan équivaudrait à un droit réel » : par. 61. Le juge a aussi estimé que « le titre ancestral comporte plusieurs éléments d’un droit réel » : par. 62. La « même conclusion s’impose », selon lui, à l’égard des « droits ancestraux [qui] ressemble</w:t>
      </w:r>
      <w:r w:rsidR="009E2F25">
        <w:rPr>
          <w:rFonts w:cs="Times New Roman"/>
          <w:lang w:val="fr-CA"/>
        </w:rPr>
        <w:t>nt à l’usufruit » : par. 63</w:t>
      </w:r>
      <w:r w:rsidR="009E2F25">
        <w:rPr>
          <w:rFonts w:cs="Times New Roman"/>
          <w:lang w:val="fr-CA"/>
        </w:rPr>
        <w:noBreakHyphen/>
        <w:t>64.</w:t>
      </w:r>
    </w:p>
    <w:p w:rsidR="00CF3116" w:rsidRPr="00F52D1E" w:rsidRDefault="00CF3116" w:rsidP="00CF3116">
      <w:pPr>
        <w:pStyle w:val="ParaNoNdepar-AltN"/>
        <w:rPr>
          <w:rFonts w:cs="Times New Roman"/>
          <w:lang w:val="fr-CA"/>
        </w:rPr>
      </w:pPr>
      <w:r w:rsidRPr="00F52D1E">
        <w:rPr>
          <w:rFonts w:cs="Times New Roman"/>
          <w:lang w:val="fr-CA"/>
        </w:rPr>
        <w:t>Toutefois, le juge a dit ne pas pouvoir se rallier à la position du PGTNL selon laquelle « la demande des Innus est une action réelle » : par. 66. Le volet de l’action des Innus qui porte sur la reconnaissance de leur titre ancestral et de leurs autres droits ancestraux ou issus de traités « est ancillaire à leur réclamation en dommages », dirigée, elle, contre IOC et QNS&amp;L : par. 67</w:t>
      </w:r>
      <w:r w:rsidRPr="00F52D1E">
        <w:rPr>
          <w:rFonts w:cs="Times New Roman"/>
          <w:lang w:val="fr-CA"/>
        </w:rPr>
        <w:noBreakHyphen/>
        <w:t>68. De fait, l’action des Innus « va au</w:t>
      </w:r>
      <w:r w:rsidRPr="00F52D1E">
        <w:rPr>
          <w:rFonts w:cs="Times New Roman"/>
          <w:lang w:val="fr-CA"/>
        </w:rPr>
        <w:noBreakHyphen/>
        <w:t xml:space="preserve">delà d’une simple action réelle » puisqu’ils allèguent qu’IOC et QNS&amp;L ont manqué à une obligation de diligence : par. 77. Outre l’action en responsabilité civile extracontractuelle fondée sur l’art. 1457 </w:t>
      </w:r>
      <w:r w:rsidRPr="00F52D1E">
        <w:rPr>
          <w:rFonts w:cs="Times New Roman"/>
          <w:i/>
          <w:lang w:val="fr-CA"/>
        </w:rPr>
        <w:t>C.c.Q.</w:t>
      </w:r>
      <w:r w:rsidRPr="00F52D1E">
        <w:rPr>
          <w:rFonts w:cs="Times New Roman"/>
          <w:lang w:val="fr-CA"/>
        </w:rPr>
        <w:t xml:space="preserve">, les Innus recherchent une condamnation des défenderesses sur la base de la responsabilité sans faute en matière de troubles de voisinage prévue à l’art. 976 </w:t>
      </w:r>
      <w:r w:rsidRPr="00F52D1E">
        <w:rPr>
          <w:rFonts w:cs="Times New Roman"/>
          <w:i/>
          <w:lang w:val="fr-CA"/>
        </w:rPr>
        <w:t>C.c.Q.</w:t>
      </w:r>
      <w:r w:rsidRPr="00F52D1E">
        <w:rPr>
          <w:rFonts w:cs="Times New Roman"/>
          <w:lang w:val="fr-CA"/>
        </w:rPr>
        <w:t xml:space="preserve"> : par. 78. Selon le juge, la </w:t>
      </w:r>
      <w:r w:rsidRPr="00F52D1E">
        <w:rPr>
          <w:rFonts w:cs="Times New Roman"/>
          <w:lang w:val="fr-CA"/>
        </w:rPr>
        <w:lastRenderedPageBreak/>
        <w:t xml:space="preserve">qualification d’« action mixte » — plutôt que celle d’« action réelle » — convenait par conséquent « beaucoup mieux » à l’action des Innus : par. 79. Or, les autorités québécoises sont compétentes pour entendre une telle « action mixte » au titre </w:t>
      </w:r>
      <w:proofErr w:type="gramStart"/>
      <w:r w:rsidRPr="00F52D1E">
        <w:rPr>
          <w:rFonts w:cs="Times New Roman"/>
          <w:lang w:val="fr-CA"/>
        </w:rPr>
        <w:t>des art</w:t>
      </w:r>
      <w:proofErr w:type="gramEnd"/>
      <w:r w:rsidRPr="00F52D1E">
        <w:rPr>
          <w:rFonts w:cs="Times New Roman"/>
          <w:lang w:val="fr-CA"/>
        </w:rPr>
        <w:t xml:space="preserve">. 3134 et 3148 al. 1(1) </w:t>
      </w:r>
      <w:r w:rsidRPr="00F52D1E">
        <w:rPr>
          <w:rFonts w:cs="Times New Roman"/>
          <w:i/>
          <w:lang w:val="fr-CA"/>
        </w:rPr>
        <w:t>C.c.Q. :</w:t>
      </w:r>
      <w:r w:rsidR="009E2F25">
        <w:rPr>
          <w:rFonts w:cs="Times New Roman"/>
          <w:lang w:val="fr-CA"/>
        </w:rPr>
        <w:t xml:space="preserve"> par. 82.</w:t>
      </w:r>
    </w:p>
    <w:p w:rsidR="00CF3116" w:rsidRPr="00F52D1E" w:rsidRDefault="00CF3116" w:rsidP="00CF3116">
      <w:pPr>
        <w:pStyle w:val="ParaNoNdepar-AltN"/>
        <w:rPr>
          <w:rFonts w:cs="Times New Roman"/>
          <w:lang w:val="fr-CA"/>
        </w:rPr>
      </w:pPr>
      <w:r w:rsidRPr="00F52D1E">
        <w:rPr>
          <w:rFonts w:cs="Times New Roman"/>
          <w:lang w:val="fr-CA"/>
        </w:rPr>
        <w:t xml:space="preserve">En ce qui concerne les </w:t>
      </w:r>
      <w:r w:rsidRPr="00F52D1E">
        <w:rPr>
          <w:rFonts w:cs="Times New Roman"/>
          <w:i/>
          <w:lang w:val="fr-CA"/>
        </w:rPr>
        <w:t>allégations</w:t>
      </w:r>
      <w:r w:rsidRPr="00F52D1E">
        <w:rPr>
          <w:rFonts w:cs="Times New Roman"/>
          <w:lang w:val="fr-CA"/>
        </w:rPr>
        <w:t xml:space="preserve"> de l’action des Innus visant les installations des défenderesses IOC et QNS&amp;L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le juge a estimé qu’elles sont pertinentes, et ce, y compris afin de faire « la démonstration de leurs droits ou de leur titre au Québec » : par. 90. Le juge a ajouté qu’il serait de cet avis « même si IOC, QNS&amp;L et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avaient raison d’avancer que le Tribunal n’est pas compétent pour rendre des ordonnances qui touchent aux installations des défenderesses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ou qui reconnaissent le titre ou des droits ancestraux des Innus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 : par. 91. En ce qui concerne les </w:t>
      </w:r>
      <w:r w:rsidRPr="00F52D1E">
        <w:rPr>
          <w:rFonts w:cs="Times New Roman"/>
          <w:i/>
          <w:lang w:val="fr-CA"/>
        </w:rPr>
        <w:t>conclusions</w:t>
      </w:r>
      <w:r w:rsidRPr="00F52D1E">
        <w:rPr>
          <w:rFonts w:cs="Times New Roman"/>
          <w:lang w:val="fr-CA"/>
        </w:rPr>
        <w:t xml:space="preserve"> de l’action des Innus, le juge a estimé — bien qu’il semble possible « [a]u niveau procédural » d’ordonner la radiation d’une conclusion — qu’il n’y avait pas lieu de le faire ici puisque les autorités québécoises « [sont] compétent[es] pour prononcer les conclusions </w:t>
      </w:r>
      <w:r w:rsidR="009E2F25">
        <w:rPr>
          <w:rFonts w:cs="Times New Roman"/>
          <w:lang w:val="fr-CA"/>
        </w:rPr>
        <w:t>qui sont demandées » : par. 92.</w:t>
      </w:r>
    </w:p>
    <w:p w:rsidR="00CF3116" w:rsidRPr="00F52D1E" w:rsidRDefault="00CF3116" w:rsidP="00CF3116">
      <w:pPr>
        <w:pStyle w:val="ParaNoNdepar-AltN"/>
        <w:rPr>
          <w:rFonts w:cs="Times New Roman"/>
          <w:lang w:val="fr-CA"/>
        </w:rPr>
      </w:pPr>
      <w:r w:rsidRPr="00F52D1E">
        <w:rPr>
          <w:rFonts w:cs="Times New Roman"/>
          <w:lang w:val="fr-CA"/>
        </w:rPr>
        <w:t xml:space="preserve">À cet égard, le juge a noté que plusieurs des facteurs de rattachement énoncés dans l’arrêt </w:t>
      </w:r>
      <w:r w:rsidRPr="00F52D1E">
        <w:rPr>
          <w:rFonts w:cs="Times New Roman"/>
          <w:i/>
          <w:lang w:val="fr-CA"/>
        </w:rPr>
        <w:t>Club Resorts Ltd. c. Van Breda</w:t>
      </w:r>
      <w:r w:rsidRPr="00F52D1E">
        <w:rPr>
          <w:rFonts w:cs="Times New Roman"/>
          <w:lang w:val="fr-CA"/>
        </w:rPr>
        <w:t>, 2012 CSC 17, [2012] 1 R.C.S. 572, y compris le fait que les défenderesses IOC et QNS&amp;L sont domiciliées au Québec et y exploitent leurs entreprises, confirment la compétence « </w:t>
      </w:r>
      <w:r w:rsidRPr="00F52D1E">
        <w:rPr>
          <w:rFonts w:cs="Times New Roman"/>
          <w:i/>
          <w:lang w:val="fr-CA"/>
        </w:rPr>
        <w:t>prima facie</w:t>
      </w:r>
      <w:r w:rsidRPr="00F52D1E">
        <w:rPr>
          <w:rFonts w:cs="Times New Roman"/>
          <w:lang w:val="fr-CA"/>
        </w:rPr>
        <w:t> » des autorités québécoises : par. 93</w:t>
      </w:r>
      <w:r w:rsidRPr="00F52D1E">
        <w:rPr>
          <w:rFonts w:cs="Times New Roman"/>
          <w:lang w:val="fr-CA"/>
        </w:rPr>
        <w:noBreakHyphen/>
        <w:t xml:space="preserve">102, référant également à l’art. 3148 </w:t>
      </w:r>
      <w:r w:rsidRPr="00F52D1E">
        <w:rPr>
          <w:rFonts w:cs="Times New Roman"/>
          <w:i/>
          <w:lang w:val="fr-CA"/>
        </w:rPr>
        <w:t>C.c.Q.</w:t>
      </w:r>
      <w:r w:rsidRPr="00F52D1E">
        <w:rPr>
          <w:rFonts w:cs="Times New Roman"/>
          <w:lang w:val="fr-CA"/>
        </w:rPr>
        <w:t xml:space="preserve"> Par ailleurs, le juge a refusé de décliner sa compétence sur le litige conformément à la doctrine du </w:t>
      </w:r>
      <w:r w:rsidRPr="00F52D1E">
        <w:rPr>
          <w:rFonts w:cs="Times New Roman"/>
          <w:i/>
          <w:lang w:val="fr-CA"/>
        </w:rPr>
        <w:t>forum non convenien</w:t>
      </w:r>
      <w:r w:rsidRPr="00F52D1E">
        <w:rPr>
          <w:rFonts w:cs="Times New Roman"/>
          <w:lang w:val="fr-CA"/>
        </w:rPr>
        <w:t xml:space="preserve">s codifiée à l’art. 3135 </w:t>
      </w:r>
      <w:r w:rsidRPr="00F52D1E">
        <w:rPr>
          <w:rFonts w:cs="Times New Roman"/>
          <w:i/>
          <w:lang w:val="fr-CA"/>
        </w:rPr>
        <w:t>C.c.Q.</w:t>
      </w:r>
      <w:r w:rsidRPr="00F52D1E">
        <w:rPr>
          <w:rFonts w:cs="Times New Roman"/>
          <w:lang w:val="fr-CA"/>
        </w:rPr>
        <w:t> : par. 102</w:t>
      </w:r>
      <w:r w:rsidRPr="00F52D1E">
        <w:rPr>
          <w:rFonts w:cs="Times New Roman"/>
          <w:lang w:val="fr-CA"/>
        </w:rPr>
        <w:noBreakHyphen/>
        <w:t xml:space="preserve">110. Le juge s’est notamment </w:t>
      </w:r>
      <w:r w:rsidRPr="00F52D1E">
        <w:rPr>
          <w:rFonts w:cs="Times New Roman"/>
          <w:lang w:val="fr-CA"/>
        </w:rPr>
        <w:lastRenderedPageBreak/>
        <w:t>dit d’avis que l’intérêt de la justice s’oppose à ce que « le même débat ait lieu devant deux juridictions qui doivent toutes les deux appliquer la même loi, et ce, quand les tribunaux qui entendront les causes sont tous les deux de no</w:t>
      </w:r>
      <w:r w:rsidR="009E2F25">
        <w:rPr>
          <w:rFonts w:cs="Times New Roman"/>
          <w:lang w:val="fr-CA"/>
        </w:rPr>
        <w:t>mination fédérale » : par. 107.</w:t>
      </w:r>
    </w:p>
    <w:p w:rsidR="00CF3116" w:rsidRPr="00F52D1E" w:rsidRDefault="00CF3116" w:rsidP="00CF3116">
      <w:pPr>
        <w:pStyle w:val="Title2LevelTitre2Niveau"/>
        <w:jc w:val="both"/>
        <w:rPr>
          <w:rFonts w:cs="Times New Roman"/>
          <w:lang w:val="fr-CA"/>
        </w:rPr>
      </w:pPr>
      <w:bookmarkStart w:id="25" w:name="_Toc268074674"/>
      <w:bookmarkStart w:id="26" w:name="_Toc31207761"/>
      <w:bookmarkStart w:id="27" w:name="_Toc32309423"/>
      <w:bookmarkStart w:id="28" w:name="_Toc32852578"/>
      <w:bookmarkStart w:id="29" w:name="_Toc33007292"/>
      <w:bookmarkStart w:id="30" w:name="_Toc6322417"/>
      <w:bookmarkStart w:id="31" w:name="_Toc11660745"/>
      <w:bookmarkStart w:id="32" w:name="_Toc29195607"/>
      <w:r w:rsidRPr="00F52D1E">
        <w:rPr>
          <w:rFonts w:cs="Times New Roman"/>
          <w:lang w:val="fr-CA"/>
        </w:rPr>
        <w:t>Cour d’appel</w:t>
      </w:r>
      <w:bookmarkEnd w:id="25"/>
      <w:r w:rsidRPr="00F52D1E">
        <w:rPr>
          <w:rFonts w:cs="Times New Roman"/>
          <w:lang w:val="fr-CA"/>
        </w:rPr>
        <w:t xml:space="preserve"> du Québec, 2017 QCCA 1791 (les juges Morissette, Healy et Ruel)</w:t>
      </w:r>
      <w:bookmarkEnd w:id="26"/>
      <w:bookmarkEnd w:id="27"/>
      <w:bookmarkEnd w:id="28"/>
      <w:bookmarkEnd w:id="29"/>
      <w:bookmarkEnd w:id="30"/>
      <w:bookmarkEnd w:id="31"/>
      <w:bookmarkEnd w:id="32"/>
    </w:p>
    <w:p w:rsidR="00CF3116" w:rsidRPr="00F52D1E" w:rsidRDefault="00CF3116" w:rsidP="00CF3116">
      <w:pPr>
        <w:pStyle w:val="ParaNoNdepar-AltN"/>
        <w:rPr>
          <w:rFonts w:cs="Times New Roman"/>
          <w:lang w:val="fr-CA"/>
        </w:rPr>
      </w:pPr>
      <w:r w:rsidRPr="00F52D1E">
        <w:rPr>
          <w:rFonts w:cs="Times New Roman"/>
          <w:lang w:val="fr-CA"/>
        </w:rPr>
        <w:t xml:space="preserve">Le PGTNL s’est pourvu devant la Cour d’appel du Québec à l’encontre du jugement de la Cour supérieure rejetant sa requête en radiation d’allégations. Il a notamment soulevé que « le recours des Innus porte sur des droits réels, en particulier sur des terres situées au Labrador et, par conséquent, les tribunaux québécois n’ont pas compétence sur </w:t>
      </w:r>
      <w:r w:rsidR="009E2F25">
        <w:rPr>
          <w:rFonts w:cs="Times New Roman"/>
          <w:lang w:val="fr-CA"/>
        </w:rPr>
        <w:t>le litige » : par. 45 (CanLII).</w:t>
      </w:r>
    </w:p>
    <w:p w:rsidR="00CF3116" w:rsidRPr="00F52D1E" w:rsidRDefault="00CF3116" w:rsidP="00CF3116">
      <w:pPr>
        <w:pStyle w:val="ParaNoNdepar-AltN"/>
        <w:rPr>
          <w:rFonts w:cs="Times New Roman"/>
          <w:lang w:val="fr-CA"/>
        </w:rPr>
      </w:pPr>
      <w:r w:rsidRPr="00F52D1E">
        <w:rPr>
          <w:rFonts w:cs="Times New Roman"/>
          <w:lang w:val="fr-CA"/>
        </w:rPr>
        <w:t xml:space="preserve">La Cour d’appel a rejeté ce pourvoi. Pour l’essentiel, elle a conclu qu’il n’y a pas lieu de « classifier de manière rigide le recours des Innus comme étant une action réelle, [puisqu’il] n’est pas possible de décrire les droits autochtones selon des notions traditionnelles du droit des biens » et qu’« [i]l s’agit de droits </w:t>
      </w:r>
      <w:r w:rsidRPr="00F52D1E">
        <w:rPr>
          <w:rFonts w:cs="Times New Roman"/>
          <w:i/>
          <w:lang w:val="fr-CA"/>
        </w:rPr>
        <w:t>sui generis</w:t>
      </w:r>
      <w:r w:rsidRPr="00F52D1E">
        <w:rPr>
          <w:rFonts w:cs="Times New Roman"/>
          <w:lang w:val="fr-CA"/>
        </w:rPr>
        <w:t> » : par. 13; voir aussi par. 67</w:t>
      </w:r>
      <w:r w:rsidRPr="00F52D1E">
        <w:rPr>
          <w:rFonts w:cs="Times New Roman"/>
          <w:lang w:val="fr-CA"/>
        </w:rPr>
        <w:noBreakHyphen/>
        <w:t>69 et 85. Le titre ancestral et les autres droits ancestraux ou issus de traités « comporte[nt] des éléments qui pourraient être qualifiés de “personnels” entre la communauté autochtone concernée et la Couronne », à savoir l’« obligation fiduciaire [de la Couronne] envers les autochtones » et son « obligation de consultation et d’accommodement de nature personnelle envers les communautés autoc</w:t>
      </w:r>
      <w:r w:rsidR="009E2F25">
        <w:rPr>
          <w:rFonts w:cs="Times New Roman"/>
          <w:lang w:val="fr-CA"/>
        </w:rPr>
        <w:t>htones » : par. 74</w:t>
      </w:r>
      <w:r w:rsidR="009E2F25">
        <w:rPr>
          <w:rFonts w:cs="Times New Roman"/>
          <w:lang w:val="fr-CA"/>
        </w:rPr>
        <w:noBreakHyphen/>
        <w:t>77 et 81</w:t>
      </w:r>
      <w:r w:rsidR="009E2F25">
        <w:rPr>
          <w:rFonts w:cs="Times New Roman"/>
          <w:lang w:val="fr-CA"/>
        </w:rPr>
        <w:noBreakHyphen/>
        <w:t>82.</w:t>
      </w:r>
    </w:p>
    <w:p w:rsidR="00CF3116" w:rsidRPr="00F52D1E" w:rsidRDefault="00CF3116" w:rsidP="00CF3116">
      <w:pPr>
        <w:pStyle w:val="ParaNoNdepar-AltN"/>
        <w:rPr>
          <w:rFonts w:cs="Times New Roman"/>
          <w:lang w:val="fr-CA"/>
        </w:rPr>
      </w:pPr>
      <w:r w:rsidRPr="00F52D1E">
        <w:rPr>
          <w:rFonts w:cs="Times New Roman"/>
          <w:lang w:val="fr-CA"/>
        </w:rPr>
        <w:t xml:space="preserve">En outre, « la reconnaissance des droits autochtones constitue un aspect accessoire à la réclamation des Innus, qui cherchent à établir la responsabilité civile </w:t>
      </w:r>
      <w:r w:rsidRPr="00F52D1E">
        <w:rPr>
          <w:rFonts w:cs="Times New Roman"/>
          <w:lang w:val="fr-CA"/>
        </w:rPr>
        <w:lastRenderedPageBreak/>
        <w:t xml:space="preserve">d’entreprises privées » : par. 14; voir aussi par. 86. Les Innus « invoquent également des violations des droits garantis par les chartes ainsi que des troubles du voisinage » : par. 93. Pour la Cour d’appel, l’action des Innus serait « principalement [u]ne action personnelle » et les autorités québécoises seraient « compétent[e]s puisqu’IOC et QNS&amp;L ont leur siège au Québec », et puisque les Innus allèguent un préjudice subi au Québec : par. 15, 52 et 95, référant </w:t>
      </w:r>
      <w:proofErr w:type="gramStart"/>
      <w:r w:rsidRPr="00F52D1E">
        <w:rPr>
          <w:rFonts w:cs="Times New Roman"/>
          <w:lang w:val="fr-CA"/>
        </w:rPr>
        <w:t>aux art</w:t>
      </w:r>
      <w:proofErr w:type="gramEnd"/>
      <w:r w:rsidRPr="00F52D1E">
        <w:rPr>
          <w:rFonts w:cs="Times New Roman"/>
          <w:lang w:val="fr-CA"/>
        </w:rPr>
        <w:t xml:space="preserve">. 3134 et 3148 </w:t>
      </w:r>
      <w:r w:rsidRPr="00F52D1E">
        <w:rPr>
          <w:rFonts w:cs="Times New Roman"/>
          <w:i/>
          <w:lang w:val="fr-CA"/>
        </w:rPr>
        <w:t>C.c.Q.</w:t>
      </w:r>
    </w:p>
    <w:p w:rsidR="00CF3116" w:rsidRPr="00F52D1E" w:rsidRDefault="00CF3116" w:rsidP="00CF3116">
      <w:pPr>
        <w:pStyle w:val="ParaNoNdepar-AltN"/>
        <w:rPr>
          <w:rFonts w:cs="Times New Roman"/>
          <w:lang w:val="fr-CA"/>
        </w:rPr>
      </w:pPr>
      <w:r w:rsidRPr="00F52D1E">
        <w:rPr>
          <w:rFonts w:cs="Times New Roman"/>
          <w:lang w:val="fr-CA"/>
        </w:rPr>
        <w:t>Enfin, la Cour d’appel a dit partager les « préoccupations » du juge de la Cour supérieure « dans une optique d’accès à la justice et de proportionnalité des procédures » : par. 113. En effet, selon la Cour d’appel, il n’allait pas dans l’intérêt de la justice, « d’amputer prématurément le recours des Innus de toute référence au Labrador, aux droits que les Innus pourraient revendiquer sur ce territoire et aux activités d’IOC et de [QNS&amp;L] au Labrador » : par. 117.</w:t>
      </w:r>
    </w:p>
    <w:p w:rsidR="00CF3116" w:rsidRPr="00F52D1E" w:rsidRDefault="00CF3116" w:rsidP="00CF3116">
      <w:pPr>
        <w:pStyle w:val="Title1LevelTitre1Niveau-AltL"/>
        <w:jc w:val="both"/>
        <w:rPr>
          <w:rFonts w:cs="Times New Roman"/>
          <w:lang w:val="fr-CA"/>
        </w:rPr>
      </w:pPr>
      <w:bookmarkStart w:id="33" w:name="_Toc11660746"/>
      <w:bookmarkStart w:id="34" w:name="_Toc29195608"/>
      <w:bookmarkStart w:id="35" w:name="_Toc31207762"/>
      <w:bookmarkStart w:id="36" w:name="_Toc32309424"/>
      <w:bookmarkStart w:id="37" w:name="_Toc32852579"/>
      <w:bookmarkStart w:id="38" w:name="_Toc33007293"/>
      <w:r w:rsidRPr="00F52D1E">
        <w:rPr>
          <w:rFonts w:cs="Times New Roman"/>
          <w:lang w:val="fr-CA"/>
        </w:rPr>
        <w:t>Question en litige</w:t>
      </w:r>
      <w:bookmarkEnd w:id="33"/>
      <w:bookmarkEnd w:id="34"/>
      <w:bookmarkEnd w:id="35"/>
      <w:bookmarkEnd w:id="36"/>
      <w:bookmarkEnd w:id="37"/>
      <w:bookmarkEnd w:id="38"/>
    </w:p>
    <w:p w:rsidR="00CF3116" w:rsidRPr="00F52D1E" w:rsidRDefault="00CF3116" w:rsidP="00CF3116">
      <w:pPr>
        <w:pStyle w:val="ParaNoNdepar-AltN"/>
        <w:rPr>
          <w:rFonts w:cs="Times New Roman"/>
          <w:lang w:val="fr-CA"/>
        </w:rPr>
      </w:pPr>
      <w:r w:rsidRPr="00F52D1E">
        <w:rPr>
          <w:rFonts w:cs="Times New Roman"/>
          <w:lang w:val="fr-CA"/>
        </w:rPr>
        <w:t>La Cour supérieure du Québec est</w:t>
      </w:r>
      <w:r w:rsidRPr="00F52D1E">
        <w:rPr>
          <w:rFonts w:cs="Times New Roman"/>
          <w:lang w:val="fr-CA"/>
        </w:rPr>
        <w:noBreakHyphen/>
        <w:t xml:space="preserve">elle compétente pour entendre le volet de l’action des Innus qui </w:t>
      </w:r>
      <w:proofErr w:type="gramStart"/>
      <w:r w:rsidRPr="00F52D1E">
        <w:rPr>
          <w:rFonts w:cs="Times New Roman"/>
          <w:lang w:val="fr-CA"/>
        </w:rPr>
        <w:t>vise</w:t>
      </w:r>
      <w:proofErr w:type="gramEnd"/>
      <w:r w:rsidRPr="00F52D1E">
        <w:rPr>
          <w:rFonts w:cs="Times New Roman"/>
          <w:lang w:val="fr-CA"/>
        </w:rPr>
        <w:t xml:space="preserve"> à faire reconnaître et à protéger un titre ancestral et d’autres droits ancestraux ou issus de traités sur des terres qui sont situées à l’extérieur du Québec?</w:t>
      </w:r>
    </w:p>
    <w:p w:rsidR="00CF3116" w:rsidRPr="00F52D1E" w:rsidRDefault="00CF3116" w:rsidP="00CF3116">
      <w:pPr>
        <w:pStyle w:val="Title1LevelTitre1Niveau-AltL"/>
        <w:rPr>
          <w:rFonts w:cs="Times New Roman"/>
          <w:lang w:val="fr-CA"/>
        </w:rPr>
      </w:pPr>
      <w:bookmarkStart w:id="39" w:name="_Toc11660747"/>
      <w:bookmarkStart w:id="40" w:name="_Toc29195609"/>
      <w:bookmarkStart w:id="41" w:name="_Toc31207763"/>
      <w:bookmarkStart w:id="42" w:name="_Toc32309425"/>
      <w:bookmarkStart w:id="43" w:name="_Toc32852580"/>
      <w:bookmarkStart w:id="44" w:name="_Toc33007294"/>
      <w:r w:rsidRPr="00F52D1E">
        <w:rPr>
          <w:rFonts w:cs="Times New Roman"/>
          <w:lang w:val="fr-CA"/>
        </w:rPr>
        <w:t>Analyse</w:t>
      </w:r>
      <w:bookmarkEnd w:id="39"/>
      <w:bookmarkEnd w:id="40"/>
      <w:bookmarkEnd w:id="41"/>
      <w:bookmarkEnd w:id="42"/>
      <w:bookmarkEnd w:id="43"/>
      <w:bookmarkEnd w:id="44"/>
    </w:p>
    <w:p w:rsidR="00CF3116" w:rsidRPr="00F52D1E" w:rsidRDefault="00CF3116" w:rsidP="00CF3116">
      <w:pPr>
        <w:pStyle w:val="ParaNoNdepar-AltN"/>
        <w:rPr>
          <w:rFonts w:cs="Times New Roman"/>
          <w:lang w:val="en-US"/>
        </w:rPr>
      </w:pPr>
      <w:r w:rsidRPr="00F52D1E">
        <w:rPr>
          <w:rFonts w:cs="Times New Roman"/>
          <w:lang w:val="fr-CA"/>
        </w:rPr>
        <w:t>D’emblée, nous sommes en désaccord avec l’affirmation de nos collègues selon laquelle « [l]es Innus ne réclament aucune répar</w:t>
      </w:r>
      <w:r w:rsidR="00E51CCA">
        <w:rPr>
          <w:rFonts w:cs="Times New Roman"/>
          <w:lang w:val="fr-CA"/>
        </w:rPr>
        <w:t>ation contre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 : par. 72. Nous croyons plutôt, à l’instar du PGTNL, que la </w:t>
      </w:r>
      <w:r w:rsidRPr="00F52D1E">
        <w:rPr>
          <w:rFonts w:cs="Times New Roman"/>
          <w:lang w:val="fr-CA"/>
        </w:rPr>
        <w:lastRenderedPageBreak/>
        <w:t>façon dont la réparation a été demandée n’est pas déterminante et que nous devons nous pencher sur le fond de la réclamation pour déceler ce qui est réellement recherché. Or, ici, cela comprend manifestement un jugement déclaratoire reconnaissant l’existence d’un titre ancestral sur un territoire situé dans la province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en dépit du fait que cette mesure soit présentée comme étant « accessoire » à la réparation principale sollicitée. Les cours d’instances inférieures ont reconnu que la revendication aurait des répercussions évidentes sur la province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 jugement de la C.S. ordonnant la signification d’un avis de questions constitutionnelles, par. 5; </w:t>
      </w:r>
      <w:r w:rsidRPr="00F52D1E">
        <w:rPr>
          <w:rFonts w:cs="Times New Roman"/>
          <w:i/>
          <w:lang w:val="fr-CA"/>
        </w:rPr>
        <w:t>Uashaunnuat (Innus de Uashat et de Mani</w:t>
      </w:r>
      <w:r w:rsidRPr="00F52D1E">
        <w:rPr>
          <w:rFonts w:cs="Times New Roman"/>
          <w:i/>
          <w:lang w:val="fr-CA"/>
        </w:rPr>
        <w:noBreakHyphen/>
        <w:t>Utenam) c. Compagnie minière IOC inc. (Iron Ore Company of Canada)</w:t>
      </w:r>
      <w:r w:rsidRPr="00F52D1E">
        <w:rPr>
          <w:rFonts w:cs="Times New Roman"/>
          <w:lang w:val="fr-CA"/>
        </w:rPr>
        <w:t>, 2014 QCCS 4403, par. 19 (CanLII) (« jugement de la C.S. rejetant la requête en irrecevabilité de IOC et de la CCLNQL »); jugement de la C.S. autorisant l’intervention du PGTNL, par. 60</w:t>
      </w:r>
      <w:r w:rsidRPr="00F52D1E">
        <w:rPr>
          <w:rFonts w:cs="Times New Roman"/>
          <w:lang w:val="fr-CA"/>
        </w:rPr>
        <w:noBreakHyphen/>
        <w:t>64 et 67; motifs de la C.S., par. 72; motifs de la C.A., par. 104. Ce qui est toutefois encore plus fondamental, et dont nous traiterons plus longuement ultérieurement, c’est que la Couronne est une partie nécessaire aux litiges portant sur un titre ancestral. Il en est ainsi parce qu’elle conserve le titre sous</w:t>
      </w:r>
      <w:r w:rsidRPr="00F52D1E">
        <w:rPr>
          <w:rFonts w:cs="Times New Roman"/>
          <w:lang w:val="fr-CA"/>
        </w:rPr>
        <w:noBreakHyphen/>
        <w:t xml:space="preserve">jacent et qu’elle doit donc s’acquitter d’obligations fiduciaires envers les détenteurs de droits ancestraux en lien avec le territoire en cause. La reconnaissance d’un titre ancestral relativement à un territoire qui se situe au Labrador constitue clairement une réparation ayant une incidence directe sur la Couronne. </w:t>
      </w:r>
      <w:proofErr w:type="gramStart"/>
      <w:r w:rsidRPr="00F52D1E">
        <w:rPr>
          <w:rFonts w:cs="Times New Roman"/>
        </w:rPr>
        <w:t>Il</w:t>
      </w:r>
      <w:proofErr w:type="gramEnd"/>
      <w:r w:rsidRPr="00F52D1E">
        <w:rPr>
          <w:rFonts w:cs="Times New Roman"/>
        </w:rPr>
        <w:t xml:space="preserve"> s’agit d’un fait incontestable qu’on ne peut ignorer</w:t>
      </w:r>
      <w:r w:rsidRPr="00F52D1E">
        <w:rPr>
          <w:rFonts w:cs="Times New Roman"/>
          <w:lang w:val="en-US"/>
        </w:rPr>
        <w:t>.</w:t>
      </w:r>
    </w:p>
    <w:p w:rsidR="00CF3116" w:rsidRPr="00F52D1E" w:rsidRDefault="00CF3116" w:rsidP="00CF3116">
      <w:pPr>
        <w:pStyle w:val="Title2LevelTitre2Niveau"/>
        <w:rPr>
          <w:rFonts w:cs="Times New Roman"/>
          <w:lang w:val="fr-CA"/>
        </w:rPr>
      </w:pPr>
      <w:bookmarkStart w:id="45" w:name="_Toc11660748"/>
      <w:bookmarkStart w:id="46" w:name="_Toc29195610"/>
      <w:bookmarkStart w:id="47" w:name="_Toc31207764"/>
      <w:bookmarkStart w:id="48" w:name="_Toc32309426"/>
      <w:bookmarkStart w:id="49" w:name="_Toc32852581"/>
      <w:bookmarkStart w:id="50" w:name="_Toc33007295"/>
      <w:r w:rsidRPr="00F52D1E">
        <w:rPr>
          <w:rFonts w:cs="Times New Roman"/>
          <w:lang w:val="fr-CA"/>
        </w:rPr>
        <w:t>Observations générales</w:t>
      </w:r>
      <w:bookmarkEnd w:id="45"/>
      <w:r w:rsidRPr="00F52D1E">
        <w:rPr>
          <w:rFonts w:cs="Times New Roman"/>
          <w:lang w:val="fr-CA"/>
        </w:rPr>
        <w:t xml:space="preserve"> sur le cadre d’analyse applicable</w:t>
      </w:r>
      <w:bookmarkEnd w:id="46"/>
      <w:bookmarkEnd w:id="47"/>
      <w:bookmarkEnd w:id="48"/>
      <w:bookmarkEnd w:id="49"/>
      <w:bookmarkEnd w:id="50"/>
    </w:p>
    <w:p w:rsidR="00CF3116" w:rsidRPr="00F52D1E" w:rsidRDefault="00CF3116" w:rsidP="00CF3116">
      <w:pPr>
        <w:pStyle w:val="ParaNoNdepar-AltN"/>
        <w:rPr>
          <w:rFonts w:cs="Times New Roman"/>
          <w:lang w:val="fr-CA"/>
        </w:rPr>
      </w:pPr>
      <w:r w:rsidRPr="00F52D1E">
        <w:rPr>
          <w:rFonts w:cs="Times New Roman"/>
          <w:lang w:val="fr-CA"/>
        </w:rPr>
        <w:lastRenderedPageBreak/>
        <w:t>Avant d’entreprendre notre analyse de la compétence des autorités québécoises sur l’action intentée par les Innus, il convient de formuler quelques remarques générales au sujet du cadre devant guider le tribunal en l’espèce.</w:t>
      </w:r>
    </w:p>
    <w:p w:rsidR="00CF3116" w:rsidRPr="00F52D1E" w:rsidRDefault="00CF3116" w:rsidP="00CF3116">
      <w:pPr>
        <w:pStyle w:val="ParaNoNdepar-AltN"/>
        <w:rPr>
          <w:rFonts w:cs="Times New Roman"/>
          <w:lang w:val="fr-CA"/>
        </w:rPr>
      </w:pPr>
      <w:r w:rsidRPr="00F52D1E">
        <w:rPr>
          <w:rFonts w:cs="Times New Roman"/>
          <w:lang w:val="fr-CA"/>
        </w:rPr>
        <w:t>Le PGC intervenant prétend dans son mémoire que les règles du droit international privé ne s’appliquent pas (« </w:t>
      </w:r>
      <w:r w:rsidRPr="00F52D1E">
        <w:rPr>
          <w:rFonts w:cs="Times New Roman"/>
          <w:i/>
          <w:lang w:val="fr-CA"/>
        </w:rPr>
        <w:t>are inapposite</w:t>
      </w:r>
      <w:r w:rsidRPr="00F52D1E">
        <w:rPr>
          <w:rFonts w:cs="Times New Roman"/>
          <w:lang w:val="fr-CA"/>
        </w:rPr>
        <w:t> »)</w:t>
      </w:r>
      <w:r w:rsidRPr="000909FB">
        <w:rPr>
          <w:rStyle w:val="Hyperlink"/>
          <w:color w:val="auto"/>
          <w:u w:val="none"/>
          <w:vertAlign w:val="superscript"/>
        </w:rPr>
        <w:footnoteReference w:id="3"/>
      </w:r>
      <w:r w:rsidRPr="00F52D1E">
        <w:rPr>
          <w:rFonts w:cs="Times New Roman"/>
          <w:lang w:val="fr-CA"/>
        </w:rPr>
        <w:t xml:space="preserve"> lorsqu’il est question des droits existants des peuples autochtones du Canada — lesquels sont reconnus et confirmés par le par. 35(1) de la </w:t>
      </w:r>
      <w:r w:rsidRPr="00F52D1E">
        <w:rPr>
          <w:rFonts w:cs="Times New Roman"/>
          <w:i/>
          <w:lang w:val="fr-CA"/>
        </w:rPr>
        <w:t>Loi constitutionnelle de 1982</w:t>
      </w:r>
      <w:r w:rsidRPr="00F52D1E">
        <w:rPr>
          <w:rFonts w:cs="Times New Roman"/>
          <w:lang w:val="fr-CA"/>
        </w:rPr>
        <w:t xml:space="preserve">. Il suggère de plutôt trancher le pourvoi au moyen de la compétence inhérente des cours supérieures de connaître d’une action en reconnaissance et en protection de droits constitutionnels : par. 13. Suivant cette approche, la cour supérieure d’une province saisie d’une action visant à faire reconnaître et à protéger des droits existants d’un peuple autochtone ayant des incidences sur une autre province devrait d’abord déterminer s’il existe un lien réel et substantiel entre l’action du peuple autochtone concerné considérée dans son ensemble et la province de la cour supérieure saisie, et ensuite considérer toutes les circonstances afin de décider s’il serait opportun qu’elle exerce sa compétence sur </w:t>
      </w:r>
      <w:r w:rsidR="009E2F25">
        <w:rPr>
          <w:rFonts w:cs="Times New Roman"/>
          <w:lang w:val="fr-CA"/>
        </w:rPr>
        <w:t>l’ensemble du litige : par. 19.</w:t>
      </w:r>
    </w:p>
    <w:p w:rsidR="00CF3116" w:rsidRPr="00F52D1E" w:rsidRDefault="00CF3116" w:rsidP="00CF3116">
      <w:pPr>
        <w:pStyle w:val="ParaNoNdepar-AltN"/>
        <w:rPr>
          <w:rFonts w:cs="Times New Roman"/>
          <w:lang w:val="fr-CA"/>
        </w:rPr>
      </w:pPr>
      <w:r w:rsidRPr="00F52D1E">
        <w:rPr>
          <w:rFonts w:cs="Times New Roman"/>
          <w:lang w:val="fr-CA"/>
        </w:rPr>
        <w:t xml:space="preserve">Nous traiterons des implications de l’approche préconisée par le PGC plus loin dans nos motifs, laquelle, si elle était acceptée, aurait d’importantes conséquences sur le fédéralisme canadien, en plus d’emporter un risque sérieux de jugements contradictoires, d’être contraire au principe de l’immunité de la Couronne et de constituer une entrave à l’accès à la justice. Pour l’instant, il suffit toutefois de </w:t>
      </w:r>
      <w:r w:rsidRPr="00F52D1E">
        <w:rPr>
          <w:rFonts w:cs="Times New Roman"/>
          <w:lang w:val="fr-CA"/>
        </w:rPr>
        <w:lastRenderedPageBreak/>
        <w:t>mentionner que nous rejetons ce point de vue, principalement p</w:t>
      </w:r>
      <w:r w:rsidR="009E2F25">
        <w:rPr>
          <w:rFonts w:cs="Times New Roman"/>
          <w:lang w:val="fr-CA"/>
        </w:rPr>
        <w:t>our les deux raisons suivantes.</w:t>
      </w:r>
    </w:p>
    <w:p w:rsidR="00CF3116" w:rsidRPr="00F52D1E" w:rsidRDefault="00CF3116" w:rsidP="00CF3116">
      <w:pPr>
        <w:pStyle w:val="Title3LevelTitre3Niveau"/>
        <w:tabs>
          <w:tab w:val="clear" w:pos="1152"/>
        </w:tabs>
        <w:ind w:left="1530"/>
        <w:rPr>
          <w:rFonts w:cs="Times New Roman"/>
          <w:lang w:val="fr-CA"/>
        </w:rPr>
      </w:pPr>
      <w:bookmarkStart w:id="51" w:name="_Toc11660749"/>
      <w:bookmarkStart w:id="52" w:name="_Toc29195611"/>
      <w:bookmarkStart w:id="53" w:name="_Toc31207765"/>
      <w:bookmarkStart w:id="54" w:name="_Toc32309427"/>
      <w:bookmarkStart w:id="55" w:name="_Toc32852582"/>
      <w:bookmarkStart w:id="56" w:name="_Toc33007296"/>
      <w:r w:rsidRPr="00F52D1E">
        <w:rPr>
          <w:rFonts w:cs="Times New Roman"/>
          <w:lang w:val="fr-CA"/>
        </w:rPr>
        <w:t>Obligation de recourir aux règles du droit international privé</w:t>
      </w:r>
      <w:bookmarkEnd w:id="51"/>
      <w:bookmarkEnd w:id="52"/>
      <w:bookmarkEnd w:id="53"/>
      <w:bookmarkEnd w:id="54"/>
      <w:bookmarkEnd w:id="55"/>
      <w:bookmarkEnd w:id="56"/>
    </w:p>
    <w:p w:rsidR="00CF3116" w:rsidRPr="00F52D1E" w:rsidRDefault="00CF3116" w:rsidP="00CF3116">
      <w:pPr>
        <w:pStyle w:val="ParaNoNdepar-AltN"/>
        <w:rPr>
          <w:rFonts w:cs="Times New Roman"/>
          <w:lang w:val="fr-CA"/>
        </w:rPr>
      </w:pPr>
      <w:r w:rsidRPr="00F52D1E">
        <w:rPr>
          <w:rFonts w:cs="Times New Roman"/>
          <w:lang w:val="fr-CA"/>
        </w:rPr>
        <w:t xml:space="preserve">Le droit international privé « a pour objet la résolution des conflits entre des ressorts différents, entre des systèmes ou règles juridiques de ressorts différents et entre des décisions de tribunaux de ressorts différents »; ce domaine du droit « est formé de principes juridiques applicables dans des situations où plus d’un tribunal peut se déclarer compétent, ou lorsque les lois de plus d’un territoire peuvent s’appliquer, ou quand un tribunal doit décider s’il reconnaîtra et exécutera un jugement étranger ou, au Canada, un jugement d’une autre province » : </w:t>
      </w:r>
      <w:r w:rsidRPr="00F52D1E">
        <w:rPr>
          <w:rFonts w:cs="Times New Roman"/>
          <w:i/>
          <w:lang w:val="fr-CA"/>
        </w:rPr>
        <w:t>Van Breda</w:t>
      </w:r>
      <w:r w:rsidRPr="00F52D1E">
        <w:rPr>
          <w:rFonts w:cs="Times New Roman"/>
          <w:lang w:val="fr-CA"/>
        </w:rPr>
        <w:t xml:space="preserve">, par. 15; S. G. A. Pitel et N. S. Rafferty, </w:t>
      </w:r>
      <w:r w:rsidRPr="00F52D1E">
        <w:rPr>
          <w:rFonts w:cs="Times New Roman"/>
          <w:i/>
          <w:lang w:val="fr-CA"/>
        </w:rPr>
        <w:t>Conflict of Laws</w:t>
      </w:r>
      <w:r w:rsidRPr="00F52D1E">
        <w:rPr>
          <w:rFonts w:cs="Times New Roman"/>
          <w:lang w:val="fr-CA"/>
        </w:rPr>
        <w:t xml:space="preserve"> (2</w:t>
      </w:r>
      <w:r w:rsidRPr="00F52D1E">
        <w:rPr>
          <w:rFonts w:cs="Times New Roman"/>
          <w:vertAlign w:val="superscript"/>
          <w:lang w:val="fr-CA"/>
        </w:rPr>
        <w:t>e</w:t>
      </w:r>
      <w:r w:rsidRPr="00F52D1E">
        <w:rPr>
          <w:rFonts w:cs="Times New Roman"/>
          <w:lang w:val="fr-CA"/>
        </w:rPr>
        <w:t xml:space="preserve"> éd. 2016), p. 1. Autrement dit, le droit international privé est la branche du droit qui « traite de la compétence des tribunaux provinciaux canadiens, de l’opportunité d’exercer cette compétence, de la loi applicable dans un litige donné et des conditions de la reconnaissance et de l’exécution d’un jugement rendu par un tribunal d’une autre province ou d’un tribunal étranger » : </w:t>
      </w:r>
      <w:r w:rsidRPr="00F52D1E">
        <w:rPr>
          <w:rFonts w:cs="Times New Roman"/>
          <w:i/>
          <w:lang w:val="fr-CA"/>
        </w:rPr>
        <w:t>Van Breda</w:t>
      </w:r>
      <w:r w:rsidR="009E2F25">
        <w:rPr>
          <w:rFonts w:cs="Times New Roman"/>
          <w:lang w:val="fr-CA"/>
        </w:rPr>
        <w:t>, par. 21.</w:t>
      </w:r>
    </w:p>
    <w:p w:rsidR="00CF3116" w:rsidRPr="00F52D1E" w:rsidRDefault="00CF3116" w:rsidP="00CF3116">
      <w:pPr>
        <w:pStyle w:val="ParaNoNdepar-AltN"/>
        <w:rPr>
          <w:rFonts w:cs="Times New Roman"/>
          <w:lang w:val="fr-CA"/>
        </w:rPr>
      </w:pPr>
      <w:r w:rsidRPr="00F52D1E">
        <w:rPr>
          <w:rFonts w:cs="Times New Roman"/>
          <w:lang w:val="fr-CA"/>
        </w:rPr>
        <w:t xml:space="preserve">Dans les provinces de common law, les règles du droit international privé sont énoncées dans les règles de procédure relatives aux significations </w:t>
      </w:r>
      <w:r w:rsidRPr="00F52D1E">
        <w:rPr>
          <w:rFonts w:cs="Times New Roman"/>
          <w:i/>
          <w:lang w:val="fr-CA"/>
        </w:rPr>
        <w:t>ex juris</w:t>
      </w:r>
      <w:r w:rsidRPr="00F52D1E">
        <w:rPr>
          <w:rFonts w:cs="Times New Roman"/>
          <w:lang w:val="fr-CA"/>
        </w:rPr>
        <w:t xml:space="preserve">, dans le critère du lien réel et substantiel découlant de l’arrêt </w:t>
      </w:r>
      <w:r w:rsidRPr="00F52D1E">
        <w:rPr>
          <w:rFonts w:cs="Times New Roman"/>
          <w:i/>
          <w:lang w:val="fr-CA"/>
        </w:rPr>
        <w:t>Morguard Investments Ltd. c. De Savoye</w:t>
      </w:r>
      <w:r w:rsidRPr="00F52D1E">
        <w:rPr>
          <w:rFonts w:cs="Times New Roman"/>
          <w:lang w:val="fr-CA"/>
        </w:rPr>
        <w:t xml:space="preserve">, [1990] 3 R.C.S. 1077, et dans les lois de ces provinces. Au Québec, elles se trouvent dans le </w:t>
      </w:r>
      <w:r w:rsidRPr="00F52D1E">
        <w:rPr>
          <w:rFonts w:cs="Times New Roman"/>
          <w:i/>
          <w:lang w:val="fr-CA"/>
        </w:rPr>
        <w:t>C.c.Q.</w:t>
      </w:r>
      <w:r w:rsidRPr="00F52D1E">
        <w:rPr>
          <w:rFonts w:cs="Times New Roman"/>
          <w:lang w:val="fr-CA"/>
        </w:rPr>
        <w:t xml:space="preserve">, qui contient un ensemble complet de règles et de principes en la matière (voir le Livre dixième du </w:t>
      </w:r>
      <w:r w:rsidRPr="00F52D1E">
        <w:rPr>
          <w:rFonts w:cs="Times New Roman"/>
          <w:i/>
          <w:lang w:val="fr-CA"/>
        </w:rPr>
        <w:t>C.c.Q.</w:t>
      </w:r>
      <w:r w:rsidRPr="00F52D1E">
        <w:rPr>
          <w:rFonts w:cs="Times New Roman"/>
          <w:lang w:val="fr-CA"/>
        </w:rPr>
        <w:t xml:space="preserve">, art. 3076 à 3168) : </w:t>
      </w:r>
      <w:r w:rsidRPr="00F52D1E">
        <w:rPr>
          <w:rFonts w:cs="Times New Roman"/>
          <w:i/>
          <w:lang w:val="fr-CA"/>
        </w:rPr>
        <w:t>Van Breda</w:t>
      </w:r>
      <w:r w:rsidRPr="00F52D1E">
        <w:rPr>
          <w:rFonts w:cs="Times New Roman"/>
          <w:lang w:val="fr-CA"/>
        </w:rPr>
        <w:t xml:space="preserve">, par. 21; </w:t>
      </w:r>
      <w:r w:rsidRPr="00F52D1E">
        <w:rPr>
          <w:rFonts w:cs="Times New Roman"/>
          <w:i/>
          <w:lang w:val="fr-CA"/>
        </w:rPr>
        <w:t>Barer c. Knight Brothers LLC</w:t>
      </w:r>
      <w:r w:rsidRPr="00F52D1E">
        <w:rPr>
          <w:rFonts w:cs="Times New Roman"/>
          <w:lang w:val="fr-CA"/>
        </w:rPr>
        <w:t>, 2019 CSC 13</w:t>
      </w:r>
      <w:r w:rsidR="00405624" w:rsidRPr="00405624">
        <w:rPr>
          <w:rFonts w:cs="Times New Roman"/>
          <w:lang w:val="fr-CA"/>
        </w:rPr>
        <w:t xml:space="preserve">, [2019] 1 </w:t>
      </w:r>
      <w:r w:rsidR="00405624" w:rsidRPr="00405624">
        <w:rPr>
          <w:rFonts w:cs="Times New Roman"/>
          <w:lang w:val="fr-CA"/>
        </w:rPr>
        <w:t>R.</w:t>
      </w:r>
      <w:r w:rsidR="00405624">
        <w:rPr>
          <w:rFonts w:cs="Times New Roman"/>
          <w:lang w:val="fr-CA"/>
        </w:rPr>
        <w:t>C.S</w:t>
      </w:r>
      <w:r w:rsidR="00405624" w:rsidRPr="00405624">
        <w:rPr>
          <w:rFonts w:cs="Times New Roman"/>
          <w:lang w:val="fr-CA"/>
        </w:rPr>
        <w:t xml:space="preserve">. 573, </w:t>
      </w:r>
      <w:r w:rsidRPr="00405624">
        <w:rPr>
          <w:rFonts w:cs="Times New Roman"/>
          <w:lang w:val="fr-CA"/>
        </w:rPr>
        <w:t>par. 131</w:t>
      </w:r>
      <w:r w:rsidRPr="00405624">
        <w:rPr>
          <w:rFonts w:cs="Times New Roman"/>
          <w:lang w:val="fr-CA"/>
        </w:rPr>
        <w:noBreakHyphen/>
        <w:t xml:space="preserve">132, le juge Brown; G. Saumier, </w:t>
      </w:r>
      <w:r w:rsidRPr="00405624">
        <w:rPr>
          <w:rFonts w:cs="Times New Roman"/>
          <w:lang w:val="fr-CA"/>
        </w:rPr>
        <w:lastRenderedPageBreak/>
        <w:t xml:space="preserve">« The Recognition of Foreign Judgments in Quebec — The Mirror Crack’d? » </w:t>
      </w:r>
      <w:r w:rsidRPr="00F52D1E">
        <w:rPr>
          <w:rFonts w:cs="Times New Roman"/>
          <w:lang w:val="fr-CA"/>
        </w:rPr>
        <w:t xml:space="preserve">(2002), 81 </w:t>
      </w:r>
      <w:r w:rsidRPr="00F52D1E">
        <w:rPr>
          <w:rFonts w:cs="Times New Roman"/>
          <w:i/>
          <w:lang w:val="fr-CA"/>
        </w:rPr>
        <w:t xml:space="preserve">R. du B. can. </w:t>
      </w:r>
      <w:r w:rsidR="009E2F25">
        <w:rPr>
          <w:rFonts w:cs="Times New Roman"/>
          <w:lang w:val="fr-CA"/>
        </w:rPr>
        <w:t>677, p. 693.</w:t>
      </w:r>
    </w:p>
    <w:p w:rsidR="00CF3116" w:rsidRPr="00F52D1E" w:rsidRDefault="00CF3116" w:rsidP="00CF3116">
      <w:pPr>
        <w:pStyle w:val="ParaNoNdepar-AltN"/>
        <w:rPr>
          <w:rFonts w:cs="Times New Roman"/>
          <w:lang w:val="fr-CA"/>
        </w:rPr>
      </w:pPr>
      <w:r w:rsidRPr="00F52D1E">
        <w:rPr>
          <w:rFonts w:cs="Times New Roman"/>
          <w:lang w:val="fr-CA"/>
        </w:rPr>
        <w:t>Ainsi, ce n’est pas la compétence inhérente des cours supérieures provinciales qui les autorise parfois à exercer leurs pouvoirs sur des opérations extraterritoriales ou transnationales (c.</w:t>
      </w:r>
      <w:r w:rsidRPr="00F52D1E">
        <w:rPr>
          <w:rFonts w:cs="Times New Roman"/>
          <w:lang w:val="fr-CA"/>
        </w:rPr>
        <w:noBreakHyphen/>
        <w:t>à</w:t>
      </w:r>
      <w:r w:rsidRPr="00F52D1E">
        <w:rPr>
          <w:rFonts w:cs="Times New Roman"/>
          <w:lang w:val="fr-CA"/>
        </w:rPr>
        <w:noBreakHyphen/>
        <w:t xml:space="preserve">d. à l’égard de personnes ou de biens qui ne sont pas situés à l’intérieur des limites territoriales de la province). Ce sont plutôt les règles du droit international privé — lesquelles sont d’origine législative ou prétorienne — qui les y autorisent. La compétence inhérente d’une cour supérieure est l’un des aspects de sa compétence générale, qu’elle exerce, en principe, seulement sur </w:t>
      </w:r>
      <w:r w:rsidRPr="00F52D1E">
        <w:rPr>
          <w:rFonts w:cs="Times New Roman"/>
          <w:i/>
          <w:lang w:val="fr-CA"/>
        </w:rPr>
        <w:t>son</w:t>
      </w:r>
      <w:r w:rsidR="009E2F25">
        <w:rPr>
          <w:rFonts w:cs="Times New Roman"/>
          <w:lang w:val="fr-CA"/>
        </w:rPr>
        <w:t xml:space="preserve"> territoire :</w:t>
      </w:r>
    </w:p>
    <w:p w:rsidR="00CF3116" w:rsidRPr="00F52D1E" w:rsidRDefault="00CF3116" w:rsidP="00CF3116">
      <w:pPr>
        <w:pStyle w:val="Citation-AltC"/>
        <w:ind w:firstLine="274"/>
        <w:rPr>
          <w:lang w:val="fr-CA"/>
        </w:rPr>
      </w:pPr>
      <w:r w:rsidRPr="00F52D1E">
        <w:rPr>
          <w:lang w:val="fr-CA"/>
        </w:rPr>
        <w:t>[</w:t>
      </w:r>
      <w:r w:rsidRPr="00F52D1E">
        <w:rPr>
          <w:smallCaps/>
          <w:lang w:val="fr-CA"/>
        </w:rPr>
        <w:t>traduction</w:t>
      </w:r>
      <w:r w:rsidRPr="00F52D1E">
        <w:rPr>
          <w:lang w:val="fr-CA"/>
        </w:rPr>
        <w:t xml:space="preserve">] Le terme « compétence inhérente de la cour » n’est pas synonyme du terme « compétence de la cour » utilisé sans qualificatif ni description : ces termes ne sont pas interchangeables, puisque </w:t>
      </w:r>
      <w:r w:rsidRPr="00F52D1E">
        <w:rPr>
          <w:u w:val="single"/>
          <w:lang w:val="fr-CA"/>
        </w:rPr>
        <w:t>la compétence « inhérente » de la cour n’est qu’une portion ou un aspect de sa compétence générale</w:t>
      </w:r>
      <w:r w:rsidRPr="00F52D1E">
        <w:rPr>
          <w:lang w:val="fr-CA"/>
        </w:rPr>
        <w:t xml:space="preserve">. La compétence générale de la Haute Cour à titre de cour supérieure d’archives est, de manière générale, illimitée et sans restriction en ce qui a trait à toutes les questions de droit de fond, tant civiles que criminelles, sous réserve de la compétence qui lui a été retirée en termes non équivoques par un texte législatif. Les décisions de la Haute Cour ne sont soumises au contrôle d’aucune autre juridiction, sauf par un appel interjeté en bonne et due forme. Elle exerce par ailleurs une compétence judiciaire totale sur l’ensemble des affaires concernant l’administration générale de la justice </w:t>
      </w:r>
      <w:r w:rsidRPr="00F52D1E">
        <w:rPr>
          <w:u w:val="single"/>
          <w:lang w:val="fr-CA"/>
        </w:rPr>
        <w:t>dans son ressort</w:t>
      </w:r>
      <w:r w:rsidRPr="00F52D1E">
        <w:rPr>
          <w:lang w:val="fr-CA"/>
        </w:rPr>
        <w:t xml:space="preserve">. </w:t>
      </w:r>
      <w:r w:rsidRPr="00F52D1E">
        <w:rPr>
          <w:u w:val="single"/>
          <w:lang w:val="fr-CA"/>
        </w:rPr>
        <w:t>Sa compétence générale comprend donc l’exercice d’une compétence inhérente.</w:t>
      </w:r>
      <w:r w:rsidRPr="00F52D1E">
        <w:rPr>
          <w:lang w:val="fr-CA"/>
        </w:rPr>
        <w:t xml:space="preserve"> [Nous soulignons; note de bas de page omise.]</w:t>
      </w:r>
    </w:p>
    <w:p w:rsidR="00CF3116" w:rsidRPr="00F52D1E" w:rsidRDefault="00CF3116" w:rsidP="00CF3116">
      <w:pPr>
        <w:pStyle w:val="Citation-AltC"/>
        <w:rPr>
          <w:lang w:val="fr-CA"/>
        </w:rPr>
      </w:pPr>
    </w:p>
    <w:p w:rsidR="00CF3116" w:rsidRPr="00F52D1E" w:rsidRDefault="00CF3116" w:rsidP="005A55C1">
      <w:pPr>
        <w:pStyle w:val="Citation-AltC"/>
        <w:ind w:left="0"/>
        <w:rPr>
          <w:lang w:val="en-US"/>
        </w:rPr>
      </w:pPr>
      <w:r w:rsidRPr="00F52D1E">
        <w:rPr>
          <w:lang w:val="en-US"/>
        </w:rPr>
        <w:t xml:space="preserve">(I. H. Jacob, « The Inherent Jurisdiction of the Court » (1970), 23 </w:t>
      </w:r>
      <w:r w:rsidRPr="00F52D1E">
        <w:rPr>
          <w:i/>
          <w:lang w:val="en-US"/>
        </w:rPr>
        <w:t>Curr. Legal Probs.</w:t>
      </w:r>
      <w:r w:rsidRPr="00F52D1E">
        <w:rPr>
          <w:lang w:val="en-US"/>
        </w:rPr>
        <w:t xml:space="preserve"> 23, p. 23</w:t>
      </w:r>
      <w:r w:rsidRPr="00F52D1E">
        <w:rPr>
          <w:lang w:val="en-US"/>
        </w:rPr>
        <w:noBreakHyphen/>
        <w:t>24)</w:t>
      </w:r>
    </w:p>
    <w:p w:rsidR="00CF3116" w:rsidRPr="00F52D1E" w:rsidRDefault="00CF3116" w:rsidP="00CF3116">
      <w:pPr>
        <w:pStyle w:val="ParaNoNdepar-AltN"/>
        <w:rPr>
          <w:rFonts w:cs="Times New Roman"/>
          <w:lang w:val="fr-CA"/>
        </w:rPr>
      </w:pPr>
      <w:r w:rsidRPr="00F52D1E">
        <w:rPr>
          <w:rFonts w:cs="Times New Roman"/>
          <w:lang w:val="fr-CA"/>
        </w:rPr>
        <w:t xml:space="preserve">Les cours supérieures provinciales constituent les tribunaux de droit commun du pays; elles ont une compétence inhérente sur toutes les matières relevant de la compétence fédérale ou provinciale, sauf sur celles pour lesquelles un autre </w:t>
      </w:r>
      <w:r w:rsidRPr="00F52D1E">
        <w:rPr>
          <w:rFonts w:cs="Times New Roman"/>
          <w:lang w:val="fr-CA"/>
        </w:rPr>
        <w:lastRenderedPageBreak/>
        <w:t xml:space="preserve">tribunal a été désigné : </w:t>
      </w:r>
      <w:r w:rsidRPr="00F52D1E">
        <w:rPr>
          <w:rFonts w:cs="Times New Roman"/>
          <w:i/>
          <w:lang w:val="fr-CA"/>
        </w:rPr>
        <w:t>Hunt c. T&amp;N plc</w:t>
      </w:r>
      <w:r w:rsidRPr="00F52D1E">
        <w:rPr>
          <w:rFonts w:cs="Times New Roman"/>
          <w:lang w:val="fr-CA"/>
        </w:rPr>
        <w:t xml:space="preserve">, [1993] 4 R.C.S. 289, p. 311; </w:t>
      </w:r>
      <w:r w:rsidRPr="00F52D1E">
        <w:rPr>
          <w:rFonts w:cs="Times New Roman"/>
          <w:i/>
          <w:lang w:val="fr-CA"/>
        </w:rPr>
        <w:t>Ontario (Procureur général) c. Pembina Exploration Canada Ltd.</w:t>
      </w:r>
      <w:r w:rsidRPr="00F52D1E">
        <w:rPr>
          <w:rFonts w:cs="Times New Roman"/>
          <w:lang w:val="fr-CA"/>
        </w:rPr>
        <w:t>, [1989] 1 R.C.S. 206, p. 217</w:t>
      </w:r>
      <w:r w:rsidRPr="00F52D1E">
        <w:rPr>
          <w:rFonts w:cs="Times New Roman"/>
          <w:lang w:val="fr-CA"/>
        </w:rPr>
        <w:noBreakHyphen/>
        <w:t xml:space="preserve">218; </w:t>
      </w:r>
      <w:r w:rsidRPr="00F52D1E">
        <w:rPr>
          <w:rFonts w:cs="Times New Roman"/>
          <w:i/>
          <w:lang w:val="fr-CA"/>
        </w:rPr>
        <w:t>Lac d’Amiante du Québec Ltée c. 2858</w:t>
      </w:r>
      <w:r w:rsidRPr="00F52D1E">
        <w:rPr>
          <w:rFonts w:cs="Times New Roman"/>
          <w:i/>
          <w:lang w:val="fr-CA"/>
        </w:rPr>
        <w:noBreakHyphen/>
        <w:t>0702 Québec Inc.</w:t>
      </w:r>
      <w:r w:rsidRPr="00F52D1E">
        <w:rPr>
          <w:rFonts w:cs="Times New Roman"/>
          <w:lang w:val="fr-CA"/>
        </w:rPr>
        <w:t xml:space="preserve">, 2001 CSC 51, [2001] 2 R.C.S. 743, par. 30. Comme l’a expliqué notre Cour dans l’arrêt </w:t>
      </w:r>
      <w:r w:rsidRPr="00F52D1E">
        <w:rPr>
          <w:rFonts w:cs="Times New Roman"/>
          <w:i/>
          <w:lang w:val="fr-CA"/>
        </w:rPr>
        <w:t>Three Rivers Boatman Ltd. c. Conseil canadien des relations ouvrières</w:t>
      </w:r>
      <w:r w:rsidRPr="00F52D1E">
        <w:rPr>
          <w:rFonts w:cs="Times New Roman"/>
          <w:lang w:val="fr-CA"/>
        </w:rPr>
        <w:t xml:space="preserve">, [1969] R.C.S. 607, p. 618, l’art. 33 du </w:t>
      </w:r>
      <w:r w:rsidRPr="00F52D1E">
        <w:rPr>
          <w:rFonts w:cs="Times New Roman"/>
          <w:i/>
          <w:lang w:val="fr-CA"/>
        </w:rPr>
        <w:t>Code de procédure civile</w:t>
      </w:r>
      <w:r w:rsidRPr="00F52D1E">
        <w:rPr>
          <w:rFonts w:cs="Times New Roman"/>
          <w:lang w:val="fr-CA"/>
        </w:rPr>
        <w:t>, RLRQ, c. C</w:t>
      </w:r>
      <w:r w:rsidRPr="00F52D1E">
        <w:rPr>
          <w:rFonts w:cs="Times New Roman"/>
          <w:lang w:val="fr-CA"/>
        </w:rPr>
        <w:noBreakHyphen/>
        <w:t>25.01 (« </w:t>
      </w:r>
      <w:r w:rsidRPr="00F52D1E">
        <w:rPr>
          <w:rFonts w:cs="Times New Roman"/>
          <w:i/>
          <w:lang w:val="fr-CA"/>
        </w:rPr>
        <w:t>C.p.c.</w:t>
      </w:r>
      <w:r w:rsidRPr="00F52D1E">
        <w:rPr>
          <w:rFonts w:cs="Times New Roman"/>
          <w:lang w:val="fr-CA"/>
        </w:rPr>
        <w:t> ») (alors l’art. 31 a.</w:t>
      </w:r>
      <w:r w:rsidRPr="00F52D1E">
        <w:rPr>
          <w:rFonts w:cs="Times New Roman"/>
          <w:i/>
          <w:lang w:val="fr-CA"/>
        </w:rPr>
        <w:t>C.p.c.</w:t>
      </w:r>
      <w:r w:rsidRPr="00F52D1E">
        <w:rPr>
          <w:rFonts w:cs="Times New Roman"/>
          <w:lang w:val="fr-CA"/>
        </w:rPr>
        <w:t>) codifie au Québec ce principe de droit</w:t>
      </w:r>
      <w:r w:rsidR="009E2F25">
        <w:rPr>
          <w:rFonts w:cs="Times New Roman"/>
          <w:lang w:val="fr-CA"/>
        </w:rPr>
        <w:t xml:space="preserve"> public basé sur la common law.</w:t>
      </w:r>
    </w:p>
    <w:p w:rsidR="00CF3116" w:rsidRPr="00F52D1E" w:rsidRDefault="00CF3116" w:rsidP="00CF3116">
      <w:pPr>
        <w:pStyle w:val="ParaNoNdepar-AltN"/>
        <w:rPr>
          <w:rFonts w:cs="Times New Roman"/>
          <w:lang w:val="fr-CA"/>
        </w:rPr>
      </w:pPr>
      <w:r w:rsidRPr="00F52D1E">
        <w:rPr>
          <w:rFonts w:cs="Times New Roman"/>
          <w:lang w:val="fr-CA"/>
        </w:rPr>
        <w:t xml:space="preserve">Le titre III du </w:t>
      </w:r>
      <w:r w:rsidRPr="00F52D1E">
        <w:rPr>
          <w:rFonts w:cs="Times New Roman"/>
          <w:i/>
          <w:lang w:val="fr-CA"/>
        </w:rPr>
        <w:t>C.p.c.</w:t>
      </w:r>
      <w:r w:rsidRPr="00F52D1E">
        <w:rPr>
          <w:rFonts w:cs="Times New Roman"/>
          <w:lang w:val="fr-CA"/>
        </w:rPr>
        <w:t xml:space="preserve"> porte, comme son nom l’indique, sur la compétence des tribunaux. On y retrouve l’art. 33 </w:t>
      </w:r>
      <w:r w:rsidRPr="00F52D1E">
        <w:rPr>
          <w:rFonts w:cs="Times New Roman"/>
          <w:i/>
          <w:lang w:val="fr-CA"/>
        </w:rPr>
        <w:t>C.p.c.,</w:t>
      </w:r>
      <w:r w:rsidRPr="00F52D1E">
        <w:rPr>
          <w:rFonts w:cs="Times New Roman"/>
          <w:lang w:val="fr-CA"/>
        </w:rPr>
        <w:t xml:space="preserve"> situé dans le chapitre I intitulé « La compétence d’attribution des tribunaux », et non dans le chapitre II intitulé « La compétence territoriale des tribunaux ». La </w:t>
      </w:r>
      <w:r w:rsidRPr="00F52D1E">
        <w:rPr>
          <w:rFonts w:cs="Times New Roman"/>
          <w:i/>
          <w:lang w:val="fr-CA"/>
        </w:rPr>
        <w:t>compétence inhérente</w:t>
      </w:r>
      <w:r w:rsidRPr="00F52D1E">
        <w:rPr>
          <w:rFonts w:cs="Times New Roman"/>
          <w:lang w:val="fr-CA"/>
        </w:rPr>
        <w:t xml:space="preserve"> de la Cour supérieure du Québec est donc l’un des aspects de sa compétence d’attribution (ou compétence </w:t>
      </w:r>
      <w:r w:rsidRPr="00F52D1E">
        <w:rPr>
          <w:rFonts w:cs="Times New Roman"/>
          <w:i/>
          <w:lang w:val="fr-CA"/>
        </w:rPr>
        <w:t>ratione materiae</w:t>
      </w:r>
      <w:r w:rsidRPr="00F52D1E">
        <w:rPr>
          <w:rFonts w:cs="Times New Roman"/>
          <w:lang w:val="fr-CA"/>
        </w:rPr>
        <w:t xml:space="preserve">), et non l’un de ceux de sa compétence territoriale (ou compétence </w:t>
      </w:r>
      <w:r w:rsidRPr="00F52D1E">
        <w:rPr>
          <w:rFonts w:cs="Times New Roman"/>
          <w:i/>
          <w:lang w:val="fr-CA"/>
        </w:rPr>
        <w:t>ratione personae vel loci</w:t>
      </w:r>
      <w:r w:rsidR="009E2F25">
        <w:rPr>
          <w:rFonts w:cs="Times New Roman"/>
          <w:lang w:val="fr-CA"/>
        </w:rPr>
        <w:t>) :</w:t>
      </w:r>
    </w:p>
    <w:p w:rsidR="00CF3116" w:rsidRPr="00F52D1E" w:rsidRDefault="00CF3116" w:rsidP="00CF3116">
      <w:pPr>
        <w:pStyle w:val="Citation-AltC"/>
        <w:rPr>
          <w:lang w:val="fr-CA"/>
        </w:rPr>
      </w:pPr>
      <w:r w:rsidRPr="00F52D1E">
        <w:rPr>
          <w:lang w:val="fr-CA"/>
        </w:rPr>
        <w:t>[</w:t>
      </w:r>
      <w:r w:rsidRPr="00F52D1E">
        <w:rPr>
          <w:smallCaps/>
          <w:lang w:val="fr-CA"/>
        </w:rPr>
        <w:t>traduction</w:t>
      </w:r>
      <w:proofErr w:type="gramStart"/>
      <w:r w:rsidR="00405624">
        <w:rPr>
          <w:lang w:val="fr-CA"/>
        </w:rPr>
        <w:t>] .</w:t>
      </w:r>
      <w:proofErr w:type="gramEnd"/>
      <w:r w:rsidR="00405624">
        <w:rPr>
          <w:lang w:val="fr-CA"/>
        </w:rPr>
        <w:t> . .</w:t>
      </w:r>
      <w:r w:rsidRPr="00F52D1E">
        <w:rPr>
          <w:lang w:val="fr-CA"/>
        </w:rPr>
        <w:t xml:space="preserve"> la compétence </w:t>
      </w:r>
      <w:r w:rsidRPr="00F52D1E">
        <w:rPr>
          <w:i/>
          <w:lang w:val="fr-CA"/>
        </w:rPr>
        <w:t>ratione materiae</w:t>
      </w:r>
      <w:r w:rsidRPr="00F52D1E">
        <w:rPr>
          <w:lang w:val="fr-CA"/>
        </w:rPr>
        <w:t xml:space="preserve"> renvoie à la capacité de la cour d’entendre le type de litige en cause, en tenant compte notamment de la question de savoir si sa compétence a été restreinte par un texte législatif. </w:t>
      </w:r>
      <w:r w:rsidRPr="00F52D1E">
        <w:rPr>
          <w:u w:val="single"/>
          <w:lang w:val="fr-CA"/>
        </w:rPr>
        <w:t>Cette compétence concerne des éléments qui ne sont pas liés à la portée territoriale du pouvoir de la cour et soulève rarement des questions de droit international privé</w:t>
      </w:r>
      <w:r w:rsidRPr="00F52D1E">
        <w:rPr>
          <w:lang w:val="fr-CA"/>
        </w:rPr>
        <w:t>. [Nous soulignons; note en bas de page omise.]</w:t>
      </w:r>
    </w:p>
    <w:p w:rsidR="00CF3116" w:rsidRPr="00F52D1E" w:rsidRDefault="00CF3116" w:rsidP="00CF3116">
      <w:pPr>
        <w:pStyle w:val="Citation-AltC"/>
        <w:rPr>
          <w:lang w:val="fr-CA"/>
        </w:rPr>
      </w:pPr>
    </w:p>
    <w:p w:rsidR="00CF3116" w:rsidRPr="00F52D1E" w:rsidRDefault="009E2F25" w:rsidP="005A55C1">
      <w:pPr>
        <w:pStyle w:val="Citation-AltC"/>
        <w:ind w:left="0"/>
        <w:rPr>
          <w:lang w:val="fr-CA"/>
        </w:rPr>
      </w:pPr>
      <w:r>
        <w:rPr>
          <w:lang w:val="fr-CA"/>
        </w:rPr>
        <w:t>(Pitel et Rafferty, p. 58</w:t>
      </w:r>
      <w:r>
        <w:rPr>
          <w:lang w:val="fr-CA"/>
        </w:rPr>
        <w:noBreakHyphen/>
        <w:t>59)</w:t>
      </w:r>
    </w:p>
    <w:p w:rsidR="00CF3116" w:rsidRPr="00F52D1E" w:rsidRDefault="00CF3116" w:rsidP="00CF3116">
      <w:pPr>
        <w:pStyle w:val="ParaNoNdepar-AltN"/>
        <w:rPr>
          <w:rFonts w:cs="Times New Roman"/>
          <w:lang w:val="fr-CA"/>
        </w:rPr>
      </w:pPr>
      <w:r w:rsidRPr="00F52D1E">
        <w:rPr>
          <w:rFonts w:cs="Times New Roman"/>
          <w:lang w:val="fr-CA"/>
        </w:rPr>
        <w:t>Le droit international privé s’intéresse, au contraire, à la compétence territoriale</w:t>
      </w:r>
      <w:r w:rsidRPr="00F52D1E">
        <w:rPr>
          <w:rFonts w:cs="Times New Roman"/>
          <w:i/>
          <w:lang w:val="fr-CA"/>
        </w:rPr>
        <w:t> :</w:t>
      </w:r>
      <w:r w:rsidRPr="00F52D1E">
        <w:rPr>
          <w:rFonts w:cs="Times New Roman"/>
          <w:lang w:val="fr-CA"/>
        </w:rPr>
        <w:t xml:space="preserve"> J.</w:t>
      </w:r>
      <w:r w:rsidRPr="00F52D1E">
        <w:rPr>
          <w:rFonts w:cs="Times New Roman"/>
          <w:lang w:val="fr-CA"/>
        </w:rPr>
        <w:noBreakHyphen/>
        <w:t xml:space="preserve">G. Castel, </w:t>
      </w:r>
      <w:r w:rsidRPr="00F52D1E">
        <w:rPr>
          <w:rFonts w:cs="Times New Roman"/>
          <w:i/>
          <w:lang w:val="fr-CA"/>
        </w:rPr>
        <w:t>Droit international privé québécois</w:t>
      </w:r>
      <w:r w:rsidRPr="00F52D1E">
        <w:rPr>
          <w:rFonts w:cs="Times New Roman"/>
          <w:lang w:val="fr-CA"/>
        </w:rPr>
        <w:t xml:space="preserve"> (1980), p. 660. Les règles de la compétence d’attribution jouent un rôle restreint en droit international privé. </w:t>
      </w:r>
      <w:r w:rsidRPr="00F52D1E">
        <w:rPr>
          <w:rFonts w:cs="Times New Roman"/>
          <w:lang w:val="fr-CA"/>
        </w:rPr>
        <w:lastRenderedPageBreak/>
        <w:t xml:space="preserve">Cependant, les règles de la compétence territoriale imposent par définition des restrictions territoriales au pouvoir des cours supérieures provinciales d’exercer leur compétence d’attribution, y compris leurs pouvoirs inhérents. Par exemple, au Québec, si « le droit procédural reconnaît des pouvoirs inhérents aux tribunaux pour régler des situations non prévues par la loi ou les règles de pratique », il reste que la « procédure civile est soumise aux principes généraux que l’on retrouve dans le </w:t>
      </w:r>
      <w:r w:rsidRPr="00F52D1E">
        <w:rPr>
          <w:rFonts w:cs="Times New Roman"/>
          <w:i/>
          <w:lang w:val="fr-CA"/>
        </w:rPr>
        <w:t>Code civil du Québec</w:t>
      </w:r>
      <w:r w:rsidRPr="00F52D1E">
        <w:rPr>
          <w:rFonts w:cs="Times New Roman"/>
          <w:lang w:val="fr-CA"/>
        </w:rPr>
        <w:t xml:space="preserve"> », ce qui comprend les règles du droit international privé figurant au Livre dixième : </w:t>
      </w:r>
      <w:r w:rsidRPr="00F52D1E">
        <w:rPr>
          <w:rFonts w:cs="Times New Roman"/>
          <w:i/>
          <w:lang w:val="fr-CA"/>
        </w:rPr>
        <w:t>Lac d’Amiante</w:t>
      </w:r>
      <w:r w:rsidRPr="00F52D1E">
        <w:rPr>
          <w:rFonts w:cs="Times New Roman"/>
          <w:lang w:val="fr-CA"/>
        </w:rPr>
        <w:t xml:space="preserve">, par. 37 et 40; art. 25 et 49 </w:t>
      </w:r>
      <w:r w:rsidRPr="00F52D1E">
        <w:rPr>
          <w:rFonts w:cs="Times New Roman"/>
          <w:i/>
          <w:lang w:val="fr-CA"/>
        </w:rPr>
        <w:t>C.p.c.</w:t>
      </w:r>
    </w:p>
    <w:p w:rsidR="00CF3116" w:rsidRPr="00F52D1E" w:rsidRDefault="00CF3116" w:rsidP="00CF3116">
      <w:pPr>
        <w:pStyle w:val="ParaNoNdepar-AltN"/>
        <w:rPr>
          <w:rFonts w:cs="Times New Roman"/>
          <w:lang w:val="fr-CA"/>
        </w:rPr>
      </w:pPr>
      <w:r w:rsidRPr="00F52D1E">
        <w:rPr>
          <w:rFonts w:cs="Times New Roman"/>
          <w:lang w:val="fr-CA"/>
        </w:rPr>
        <w:t xml:space="preserve">Les cours supérieures provinciales ont hérité leur « compétence inhérente » des cours royales de justice anglaises, dont elles descendent directement : T. A. Cromwell, « Aspects of Constitutional Judicial Review in Canada » (1995), 46 </w:t>
      </w:r>
      <w:r w:rsidRPr="00F52D1E">
        <w:rPr>
          <w:rFonts w:cs="Times New Roman"/>
          <w:i/>
          <w:lang w:val="fr-CA"/>
        </w:rPr>
        <w:t xml:space="preserve">S.C. L. Rev. </w:t>
      </w:r>
      <w:r w:rsidRPr="00F52D1E">
        <w:rPr>
          <w:rFonts w:cs="Times New Roman"/>
          <w:lang w:val="fr-CA"/>
        </w:rPr>
        <w:t>1027, p. 1030</w:t>
      </w:r>
      <w:r w:rsidRPr="00F52D1E">
        <w:rPr>
          <w:rFonts w:cs="Times New Roman"/>
          <w:lang w:val="fr-CA"/>
        </w:rPr>
        <w:noBreakHyphen/>
        <w:t xml:space="preserve">1031, cité dans </w:t>
      </w:r>
      <w:r w:rsidRPr="00F52D1E">
        <w:rPr>
          <w:rFonts w:cs="Times New Roman"/>
          <w:i/>
          <w:lang w:val="fr-CA"/>
        </w:rPr>
        <w:t>MacMillan Bloedel Ltd. c. Simpson</w:t>
      </w:r>
      <w:r w:rsidRPr="00F52D1E">
        <w:rPr>
          <w:rFonts w:cs="Times New Roman"/>
          <w:lang w:val="fr-CA"/>
        </w:rPr>
        <w:t xml:space="preserve">, [1995] 4 R.C.S. 725, par. 32. Or, ces cours n’ont aucune </w:t>
      </w:r>
      <w:r w:rsidRPr="00F52D1E">
        <w:rPr>
          <w:rFonts w:cs="Times New Roman"/>
          <w:i/>
          <w:lang w:val="fr-CA"/>
        </w:rPr>
        <w:t>compétence inhérente</w:t>
      </w:r>
      <w:r w:rsidRPr="00F52D1E">
        <w:rPr>
          <w:rFonts w:cs="Times New Roman"/>
          <w:lang w:val="fr-CA"/>
        </w:rPr>
        <w:t xml:space="preserve"> pour statuer sur des droits de propriété ou de possession relatifs à des immeubles situés à l’étranger (suivant la « règle portant sur les immeubles étrangers » dans les juridictions de common law et, au Québec, suivant l’art. 3152 </w:t>
      </w:r>
      <w:r w:rsidRPr="00F52D1E">
        <w:rPr>
          <w:rFonts w:cs="Times New Roman"/>
          <w:i/>
          <w:lang w:val="fr-CA"/>
        </w:rPr>
        <w:t>C.c.Q.</w:t>
      </w:r>
      <w:r w:rsidRPr="00F52D1E">
        <w:rPr>
          <w:rFonts w:cs="Times New Roman"/>
          <w:lang w:val="fr-CA"/>
        </w:rPr>
        <w:t>); ces cours sont en fait totalement incompétentes pour se prononcer sur l’existence de tels droits (Pitel et Rafferty, p. 53, 330</w:t>
      </w:r>
      <w:r w:rsidRPr="00F52D1E">
        <w:rPr>
          <w:rFonts w:cs="Times New Roman"/>
          <w:lang w:val="fr-CA"/>
        </w:rPr>
        <w:noBreakHyphen/>
        <w:t xml:space="preserve">331; A. Briggs, </w:t>
      </w:r>
      <w:r w:rsidRPr="00F52D1E">
        <w:rPr>
          <w:rFonts w:cs="Times New Roman"/>
          <w:i/>
          <w:lang w:val="fr-CA"/>
        </w:rPr>
        <w:t>The Conflict of Laws</w:t>
      </w:r>
      <w:r w:rsidRPr="00F52D1E">
        <w:rPr>
          <w:rFonts w:cs="Times New Roman"/>
          <w:lang w:val="fr-CA"/>
        </w:rPr>
        <w:t xml:space="preserve"> (3</w:t>
      </w:r>
      <w:r w:rsidRPr="00F52D1E">
        <w:rPr>
          <w:rFonts w:cs="Times New Roman"/>
          <w:vertAlign w:val="superscript"/>
          <w:lang w:val="fr-CA"/>
        </w:rPr>
        <w:t>e</w:t>
      </w:r>
      <w:r w:rsidRPr="00F52D1E">
        <w:rPr>
          <w:rFonts w:cs="Times New Roman"/>
          <w:lang w:val="fr-CA"/>
        </w:rPr>
        <w:t xml:space="preserve"> éd.</w:t>
      </w:r>
      <w:r w:rsidR="009E2F25">
        <w:rPr>
          <w:rFonts w:cs="Times New Roman"/>
          <w:lang w:val="fr-CA"/>
        </w:rPr>
        <w:t xml:space="preserve"> 2013), p. 50; Castel, p. 660).</w:t>
      </w:r>
    </w:p>
    <w:p w:rsidR="00CF3116" w:rsidRPr="00F52D1E" w:rsidRDefault="00CF3116" w:rsidP="00CF3116">
      <w:pPr>
        <w:pStyle w:val="ParaNoNdepar-AltN"/>
        <w:rPr>
          <w:rFonts w:cs="Times New Roman"/>
          <w:lang w:val="fr-CA"/>
        </w:rPr>
      </w:pPr>
      <w:r w:rsidRPr="00F52D1E">
        <w:rPr>
          <w:rFonts w:cs="Times New Roman"/>
          <w:lang w:val="fr-CA"/>
        </w:rPr>
        <w:t xml:space="preserve">Ces cours n’ont pas non plus de compétence inhérente pour autoriser la signification d’actes de procédure </w:t>
      </w:r>
      <w:r w:rsidRPr="00F52D1E">
        <w:rPr>
          <w:rFonts w:cs="Times New Roman"/>
          <w:i/>
          <w:lang w:val="fr-CA"/>
        </w:rPr>
        <w:t>ex juris</w:t>
      </w:r>
      <w:r w:rsidRPr="00F52D1E">
        <w:rPr>
          <w:rFonts w:cs="Times New Roman"/>
          <w:lang w:val="fr-CA"/>
        </w:rPr>
        <w:t xml:space="preserve"> (c.</w:t>
      </w:r>
      <w:r w:rsidRPr="00F52D1E">
        <w:rPr>
          <w:rFonts w:cs="Times New Roman"/>
          <w:lang w:val="fr-CA"/>
        </w:rPr>
        <w:noBreakHyphen/>
        <w:t>à</w:t>
      </w:r>
      <w:r w:rsidRPr="00F52D1E">
        <w:rPr>
          <w:rFonts w:cs="Times New Roman"/>
          <w:lang w:val="fr-CA"/>
        </w:rPr>
        <w:noBreakHyphen/>
        <w:t xml:space="preserve">d. hors de leur ressort) : voir, à ce sujet, </w:t>
      </w:r>
      <w:r w:rsidRPr="00F52D1E">
        <w:rPr>
          <w:rFonts w:cs="Times New Roman"/>
          <w:i/>
          <w:lang w:val="fr-CA"/>
        </w:rPr>
        <w:t>Abela c. Baadarani</w:t>
      </w:r>
      <w:r w:rsidRPr="00F52D1E">
        <w:rPr>
          <w:rFonts w:cs="Times New Roman"/>
          <w:lang w:val="fr-CA"/>
        </w:rPr>
        <w:t xml:space="preserve">, [2013] UKSC 44, [2013] 4 All E.R. 119, par. 45. Ce pouvoir leur a plutôt été conféré par la loi, en l’occurrence la </w:t>
      </w:r>
      <w:r w:rsidRPr="00F52D1E">
        <w:rPr>
          <w:rFonts w:cs="Times New Roman"/>
          <w:i/>
          <w:lang w:val="fr-CA"/>
        </w:rPr>
        <w:t>Common Law Procedure Act, 1852</w:t>
      </w:r>
      <w:r w:rsidRPr="00F52D1E">
        <w:rPr>
          <w:rFonts w:cs="Times New Roman"/>
          <w:lang w:val="fr-CA"/>
        </w:rPr>
        <w:t xml:space="preserve"> (R.</w:t>
      </w:r>
      <w:r w:rsidRPr="00F52D1E">
        <w:rPr>
          <w:rFonts w:cs="Times New Roman"/>
          <w:lang w:val="fr-CA"/>
        </w:rPr>
        <w:noBreakHyphen/>
        <w:t xml:space="preserve">U.), 15 &amp; 16 Vict., c. 76 : J. Swan, « The Canadian Constitution, Federalism and </w:t>
      </w:r>
      <w:r w:rsidRPr="00F52D1E">
        <w:rPr>
          <w:rFonts w:cs="Times New Roman"/>
          <w:lang w:val="fr-CA"/>
        </w:rPr>
        <w:lastRenderedPageBreak/>
        <w:t xml:space="preserve">the Conflict of Laws » (1985), 63 </w:t>
      </w:r>
      <w:r w:rsidRPr="00F52D1E">
        <w:rPr>
          <w:rFonts w:cs="Times New Roman"/>
          <w:i/>
          <w:lang w:val="fr-CA"/>
        </w:rPr>
        <w:t>R. du B. can.</w:t>
      </w:r>
      <w:r w:rsidRPr="00F52D1E">
        <w:rPr>
          <w:rFonts w:cs="Times New Roman"/>
          <w:lang w:val="fr-CA"/>
        </w:rPr>
        <w:t xml:space="preserve"> 271, p. 294; voir aussi Pitel et Rafferty, p. 54; E. Edinger, « Territorial Limitations on Provincial Powers » (1982), 14 </w:t>
      </w:r>
      <w:r w:rsidRPr="00F52D1E">
        <w:rPr>
          <w:rFonts w:cs="Times New Roman"/>
          <w:i/>
          <w:lang w:val="fr-CA"/>
        </w:rPr>
        <w:t>R.D.</w:t>
      </w:r>
      <w:r w:rsidRPr="00F52D1E">
        <w:rPr>
          <w:rFonts w:cs="Times New Roman"/>
          <w:lang w:val="fr-CA"/>
        </w:rPr>
        <w:t xml:space="preserve"> </w:t>
      </w:r>
      <w:r w:rsidRPr="00F52D1E">
        <w:rPr>
          <w:rFonts w:cs="Times New Roman"/>
          <w:i/>
          <w:lang w:val="fr-CA"/>
        </w:rPr>
        <w:t>Ottawa</w:t>
      </w:r>
      <w:r w:rsidRPr="00F52D1E">
        <w:rPr>
          <w:rFonts w:cs="Times New Roman"/>
          <w:lang w:val="fr-CA"/>
        </w:rPr>
        <w:t xml:space="preserve"> 57, p. 66.</w:t>
      </w:r>
    </w:p>
    <w:p w:rsidR="00CF3116" w:rsidRPr="00F52D1E" w:rsidRDefault="00CF3116" w:rsidP="00CF3116">
      <w:pPr>
        <w:pStyle w:val="ParaNoNdepar-AltN"/>
        <w:rPr>
          <w:rFonts w:cs="Times New Roman"/>
          <w:lang w:val="fr-CA"/>
        </w:rPr>
      </w:pPr>
      <w:r w:rsidRPr="00F52D1E">
        <w:rPr>
          <w:rFonts w:cs="Times New Roman"/>
          <w:lang w:val="fr-CA"/>
        </w:rPr>
        <w:t xml:space="preserve">Il n’y a aucune raison de croire que la situation au Québec serait différente, puisque la loi y est </w:t>
      </w:r>
      <w:r w:rsidRPr="00F52D1E">
        <w:rPr>
          <w:rFonts w:cs="Times New Roman"/>
          <w:i/>
          <w:lang w:val="fr-CA"/>
        </w:rPr>
        <w:t>aussi</w:t>
      </w:r>
      <w:r w:rsidRPr="00F52D1E">
        <w:rPr>
          <w:rFonts w:cs="Times New Roman"/>
          <w:lang w:val="fr-CA"/>
        </w:rPr>
        <w:t xml:space="preserve"> la source principale des règles du droit international privé : Castel, p. 24; </w:t>
      </w:r>
      <w:r w:rsidRPr="00F52D1E">
        <w:rPr>
          <w:rFonts w:cs="Times New Roman"/>
          <w:i/>
          <w:lang w:val="fr-CA"/>
        </w:rPr>
        <w:t>The Scottish Metropolitan Assurance Company Limited c. Graves</w:t>
      </w:r>
      <w:r w:rsidR="009E2F25">
        <w:rPr>
          <w:rFonts w:cs="Times New Roman"/>
          <w:lang w:val="fr-CA"/>
        </w:rPr>
        <w:t>, [1955] C.S. 88.</w:t>
      </w:r>
    </w:p>
    <w:p w:rsidR="00CF3116" w:rsidRPr="00F52D1E" w:rsidRDefault="00CF3116" w:rsidP="00CF3116">
      <w:pPr>
        <w:pStyle w:val="ParaNoNdepar-AltN"/>
        <w:rPr>
          <w:rFonts w:cs="Times New Roman"/>
          <w:lang w:val="fr-CA"/>
        </w:rPr>
      </w:pPr>
      <w:r w:rsidRPr="00F52D1E">
        <w:rPr>
          <w:rFonts w:cs="Times New Roman"/>
          <w:lang w:val="fr-CA"/>
        </w:rPr>
        <w:t xml:space="preserve">Ce que nous venons d’affirmer est compatible avec le jugement de notre Cour dans l’affaire </w:t>
      </w:r>
      <w:r w:rsidRPr="00F52D1E">
        <w:rPr>
          <w:rFonts w:cs="Times New Roman"/>
          <w:i/>
          <w:lang w:val="fr-CA"/>
        </w:rPr>
        <w:t>Hunt</w:t>
      </w:r>
      <w:r w:rsidRPr="00F52D1E">
        <w:rPr>
          <w:rFonts w:cs="Times New Roman"/>
          <w:lang w:val="fr-CA"/>
        </w:rPr>
        <w:t>. La Cour y a déclaré qu’une loi québécoise qui avait « pour objet d’empêcher qu’il y ait des litiges ou des poursuites couronnés de succès dans d’autres ressorts » que le Québec était constitutionnellement inapplicable en Colombie</w:t>
      </w:r>
      <w:r w:rsidRPr="00F52D1E">
        <w:rPr>
          <w:rFonts w:cs="Times New Roman"/>
          <w:lang w:val="fr-CA"/>
        </w:rPr>
        <w:noBreakHyphen/>
        <w:t>Britannique : p. 327. Il s’agissait de savoir si la Cour suprême de la Colombie</w:t>
      </w:r>
      <w:r w:rsidRPr="00F52D1E">
        <w:rPr>
          <w:rFonts w:cs="Times New Roman"/>
          <w:lang w:val="fr-CA"/>
        </w:rPr>
        <w:noBreakHyphen/>
        <w:t xml:space="preserve">Britannique avait le pouvoir de statuer sur la constitutionnalité de la loi québécoise. En répondant par l’affirmative, la Cour s’est fondée, non pas sur le par. 52(1) de la </w:t>
      </w:r>
      <w:r w:rsidRPr="00F52D1E">
        <w:rPr>
          <w:rFonts w:cs="Times New Roman"/>
          <w:i/>
          <w:lang w:val="fr-CA"/>
        </w:rPr>
        <w:t>Loi constitutionnelle de 1982</w:t>
      </w:r>
      <w:r w:rsidRPr="00F52D1E">
        <w:rPr>
          <w:rFonts w:cs="Times New Roman"/>
          <w:lang w:val="fr-CA"/>
        </w:rPr>
        <w:t xml:space="preserve">, lequel « est silencieux sur la question de compétence comme telle » (p. 313), mais plutôt sur la </w:t>
      </w:r>
      <w:r w:rsidRPr="00F52D1E">
        <w:rPr>
          <w:rFonts w:cs="Times New Roman"/>
          <w:i/>
          <w:lang w:val="fr-CA"/>
        </w:rPr>
        <w:t>compétence inhérente</w:t>
      </w:r>
      <w:r w:rsidRPr="00F52D1E">
        <w:rPr>
          <w:rFonts w:cs="Times New Roman"/>
          <w:lang w:val="fr-CA"/>
        </w:rPr>
        <w:t xml:space="preserve"> et la </w:t>
      </w:r>
      <w:r w:rsidRPr="00F52D1E">
        <w:rPr>
          <w:rFonts w:cs="Times New Roman"/>
          <w:i/>
          <w:lang w:val="fr-CA"/>
        </w:rPr>
        <w:t>compétence générale</w:t>
      </w:r>
      <w:r w:rsidRPr="00F52D1E">
        <w:rPr>
          <w:rFonts w:cs="Times New Roman"/>
          <w:lang w:val="fr-CA"/>
        </w:rPr>
        <w:t xml:space="preserve"> des cours supérieures provinciales c’est</w:t>
      </w:r>
      <w:r w:rsidRPr="00F52D1E">
        <w:rPr>
          <w:rFonts w:cs="Times New Roman"/>
          <w:lang w:val="fr-CA"/>
        </w:rPr>
        <w:noBreakHyphen/>
        <w:t>à</w:t>
      </w:r>
      <w:r w:rsidRPr="00F52D1E">
        <w:rPr>
          <w:rFonts w:cs="Times New Roman"/>
          <w:lang w:val="fr-CA"/>
        </w:rPr>
        <w:noBreakHyphen/>
        <w:t xml:space="preserve">dire sur leur compétence </w:t>
      </w:r>
      <w:r w:rsidRPr="00F52D1E">
        <w:rPr>
          <w:rFonts w:cs="Times New Roman"/>
          <w:i/>
          <w:lang w:val="fr-CA"/>
        </w:rPr>
        <w:t>d’attribution</w:t>
      </w:r>
      <w:r w:rsidRPr="00F52D1E">
        <w:rPr>
          <w:rFonts w:cs="Times New Roman"/>
          <w:lang w:val="fr-CA"/>
        </w:rPr>
        <w:t xml:space="preserve">, et a souligné qu’une telle compétence « doit inclure le pouvoir de décider si les lois </w:t>
      </w:r>
      <w:r w:rsidRPr="00F52D1E">
        <w:rPr>
          <w:rFonts w:cs="Times New Roman"/>
          <w:u w:val="single"/>
          <w:lang w:val="fr-CA"/>
        </w:rPr>
        <w:t>que l’on cherche à appliquer</w:t>
      </w:r>
      <w:r w:rsidRPr="00F52D1E">
        <w:rPr>
          <w:rFonts w:cs="Times New Roman"/>
          <w:lang w:val="fr-CA"/>
        </w:rPr>
        <w:t xml:space="preserve"> sont constitutionnelles » (p. 312 (nous s</w:t>
      </w:r>
      <w:r w:rsidR="009E2F25">
        <w:rPr>
          <w:rFonts w:cs="Times New Roman"/>
          <w:lang w:val="fr-CA"/>
        </w:rPr>
        <w:t>oulignons); voir aussi p. 313).</w:t>
      </w:r>
    </w:p>
    <w:p w:rsidR="00CF3116" w:rsidRPr="00F52D1E" w:rsidRDefault="00CF3116" w:rsidP="00CF3116">
      <w:pPr>
        <w:pStyle w:val="ParaNoNdepar-AltN"/>
        <w:rPr>
          <w:rFonts w:cs="Times New Roman"/>
          <w:lang w:val="fr-CA"/>
        </w:rPr>
      </w:pPr>
      <w:r w:rsidRPr="00F52D1E">
        <w:rPr>
          <w:rFonts w:cs="Times New Roman"/>
          <w:lang w:val="fr-CA"/>
        </w:rPr>
        <w:t xml:space="preserve">L’arrêt </w:t>
      </w:r>
      <w:r w:rsidRPr="00F52D1E">
        <w:rPr>
          <w:rFonts w:cs="Times New Roman"/>
          <w:i/>
          <w:lang w:val="fr-CA"/>
        </w:rPr>
        <w:t>Hunt</w:t>
      </w:r>
      <w:r w:rsidRPr="00F52D1E">
        <w:rPr>
          <w:rFonts w:cs="Times New Roman"/>
          <w:lang w:val="fr-CA"/>
        </w:rPr>
        <w:t xml:space="preserve"> ne portait donc pas sur la compétence </w:t>
      </w:r>
      <w:r w:rsidRPr="00F52D1E">
        <w:rPr>
          <w:rFonts w:cs="Times New Roman"/>
          <w:i/>
          <w:lang w:val="fr-CA"/>
        </w:rPr>
        <w:t>territoriale</w:t>
      </w:r>
      <w:r w:rsidRPr="00F52D1E">
        <w:rPr>
          <w:rFonts w:cs="Times New Roman"/>
          <w:lang w:val="fr-CA"/>
        </w:rPr>
        <w:t xml:space="preserve"> de la Cour suprême de la Colombie</w:t>
      </w:r>
      <w:r w:rsidRPr="00F52D1E">
        <w:rPr>
          <w:rFonts w:cs="Times New Roman"/>
          <w:lang w:val="fr-CA"/>
        </w:rPr>
        <w:noBreakHyphen/>
        <w:t xml:space="preserve">Britannique à l’égard du litige et des parties; cette compétence </w:t>
      </w:r>
      <w:r w:rsidRPr="00F52D1E">
        <w:rPr>
          <w:rFonts w:cs="Times New Roman"/>
          <w:lang w:val="fr-CA"/>
        </w:rPr>
        <w:lastRenderedPageBreak/>
        <w:t>territoriale avait été définitivement confirmée à l’issue de procédures judiciaires connexes : p. 297 et 315</w:t>
      </w:r>
      <w:r w:rsidRPr="00F52D1E">
        <w:rPr>
          <w:rFonts w:cs="Times New Roman"/>
          <w:lang w:val="fr-CA"/>
        </w:rPr>
        <w:noBreakHyphen/>
        <w:t xml:space="preserve">316. En termes de droit international privé, l’arrêt </w:t>
      </w:r>
      <w:r w:rsidRPr="00F52D1E">
        <w:rPr>
          <w:rFonts w:cs="Times New Roman"/>
          <w:i/>
          <w:lang w:val="fr-CA"/>
        </w:rPr>
        <w:t>Hunt</w:t>
      </w:r>
      <w:r w:rsidRPr="00F52D1E">
        <w:rPr>
          <w:rFonts w:cs="Times New Roman"/>
          <w:lang w:val="fr-CA"/>
        </w:rPr>
        <w:t xml:space="preserve"> portait en réalité sur le choix de la loi applicable, plutôt que sur la compétence de la Cour suprême de la Colombie</w:t>
      </w:r>
      <w:r w:rsidRPr="00F52D1E">
        <w:rPr>
          <w:rFonts w:cs="Times New Roman"/>
          <w:lang w:val="fr-CA"/>
        </w:rPr>
        <w:noBreakHyphen/>
        <w:t xml:space="preserve">Britannique. En effet, cette dernière, valablement saisie du litige, aurait normalement dû appliquer ses </w:t>
      </w:r>
      <w:r w:rsidRPr="00F52D1E">
        <w:rPr>
          <w:rFonts w:cs="Times New Roman"/>
          <w:i/>
          <w:lang w:val="fr-CA"/>
        </w:rPr>
        <w:t>propres</w:t>
      </w:r>
      <w:r w:rsidRPr="00F52D1E">
        <w:rPr>
          <w:rFonts w:cs="Times New Roman"/>
          <w:lang w:val="fr-CA"/>
        </w:rPr>
        <w:t xml:space="preserve"> règles de procédure en matière de communication de la preuve (notamment le par. 2(5) des </w:t>
      </w:r>
      <w:r w:rsidRPr="00F52D1E">
        <w:rPr>
          <w:rFonts w:cs="Times New Roman"/>
          <w:i/>
          <w:lang w:val="fr-CA"/>
        </w:rPr>
        <w:t>Supreme Court Rules</w:t>
      </w:r>
      <w:r w:rsidRPr="00F52D1E">
        <w:rPr>
          <w:rFonts w:cs="Times New Roman"/>
          <w:lang w:val="fr-CA"/>
        </w:rPr>
        <w:t>, B.C. Reg. 221/90, de la Colombie</w:t>
      </w:r>
      <w:r w:rsidRPr="00F52D1E">
        <w:rPr>
          <w:rFonts w:cs="Times New Roman"/>
          <w:lang w:val="fr-CA"/>
        </w:rPr>
        <w:noBreakHyphen/>
        <w:t>Britannique). Or, les défendeurs du Québec avaient soulevé comme « excuse légitime » pour ne pas s’y conformer une loi québécoise qui interdisait de transporter hors du Québec des documents d’entreprises exigés relativement à des procédures judiciaires à l’extérieur du Québec : p. 296. La Cour a alors souligné « le droit de toute cour supérieure d’examiner la loi d’un autre ressort pour les fins du litige dont elle est saisie et de tirer des conclusions de fait à cet égard » : p. 308. La loi québécoise était « un fait pertinent quant à l’ordre public de la C</w:t>
      </w:r>
      <w:r w:rsidR="009E2F25">
        <w:rPr>
          <w:rFonts w:cs="Times New Roman"/>
          <w:lang w:val="fr-CA"/>
        </w:rPr>
        <w:t>olombie</w:t>
      </w:r>
      <w:r w:rsidR="009E2F25">
        <w:rPr>
          <w:rFonts w:cs="Times New Roman"/>
          <w:lang w:val="fr-CA"/>
        </w:rPr>
        <w:noBreakHyphen/>
        <w:t>Britannique » : p. 308.</w:t>
      </w:r>
    </w:p>
    <w:p w:rsidR="00CF3116" w:rsidRPr="00F52D1E" w:rsidRDefault="00CF3116" w:rsidP="00CF3116">
      <w:pPr>
        <w:pStyle w:val="ParaNoNdepar-AltN"/>
        <w:rPr>
          <w:rFonts w:cs="Times New Roman"/>
          <w:lang w:val="fr-CA"/>
        </w:rPr>
      </w:pPr>
      <w:r w:rsidRPr="00F52D1E">
        <w:rPr>
          <w:rFonts w:cs="Times New Roman"/>
          <w:lang w:val="fr-CA"/>
        </w:rPr>
        <w:t xml:space="preserve">Nous notons que les règles québécoises de droit international privé excluent tout autant « [l]’application des dispositions de la loi d’un État étranger [. . .] lorsqu’elle conduit à un résultat manifestement incompatible avec l’ordre public tel qu’il est entendu dans les relations internationales » : art. 3081 </w:t>
      </w:r>
      <w:r w:rsidRPr="00F52D1E">
        <w:rPr>
          <w:rFonts w:cs="Times New Roman"/>
          <w:i/>
          <w:lang w:val="fr-CA"/>
        </w:rPr>
        <w:t>C.c.Q.</w:t>
      </w:r>
      <w:r w:rsidRPr="00F52D1E">
        <w:rPr>
          <w:rFonts w:cs="Times New Roman"/>
          <w:lang w:val="fr-CA"/>
        </w:rPr>
        <w:t xml:space="preserve"> Il faut de plus souligner qu’il est établi depuis longtemps qu’une partie qui invoque une loi d’une province </w:t>
      </w:r>
      <w:r w:rsidRPr="00F52D1E">
        <w:rPr>
          <w:rFonts w:cs="Times New Roman"/>
          <w:i/>
          <w:lang w:val="fr-CA"/>
        </w:rPr>
        <w:t>directement</w:t>
      </w:r>
      <w:r w:rsidRPr="00F52D1E">
        <w:rPr>
          <w:rFonts w:cs="Times New Roman"/>
          <w:lang w:val="fr-CA"/>
        </w:rPr>
        <w:t xml:space="preserve"> devant les tribunaux d’une autre ([</w:t>
      </w:r>
      <w:r w:rsidRPr="00F52D1E">
        <w:rPr>
          <w:rFonts w:cs="Times New Roman"/>
          <w:smallCaps/>
          <w:lang w:val="fr-CA"/>
        </w:rPr>
        <w:t>traduction</w:t>
      </w:r>
      <w:r w:rsidRPr="00F52D1E">
        <w:rPr>
          <w:rFonts w:cs="Times New Roman"/>
          <w:lang w:val="fr-CA"/>
        </w:rPr>
        <w:t xml:space="preserve">] « essuira invariablement un refus, au motif que si une telle opération était souhaitée par la province qui a légiféré, la loi est dans cette mesure </w:t>
      </w:r>
      <w:r w:rsidRPr="00F52D1E">
        <w:rPr>
          <w:rFonts w:cs="Times New Roman"/>
          <w:i/>
          <w:lang w:val="fr-CA"/>
        </w:rPr>
        <w:t>ultra vires</w:t>
      </w:r>
      <w:r w:rsidRPr="00F52D1E">
        <w:rPr>
          <w:rFonts w:cs="Times New Roman"/>
          <w:lang w:val="fr-CA"/>
        </w:rPr>
        <w:t xml:space="preserve"> », puisque « l’application directe d’une règle étrangère est, bien entendu, une violation du principe de territorialité </w:t>
      </w:r>
      <w:r w:rsidRPr="00F52D1E">
        <w:rPr>
          <w:rFonts w:cs="Times New Roman"/>
          <w:lang w:val="fr-CA"/>
        </w:rPr>
        <w:lastRenderedPageBreak/>
        <w:t>et provoque naturellement des débordements des tribunaux quant aux limites de la compétence législative de l’aut</w:t>
      </w:r>
      <w:r w:rsidR="009E2F25">
        <w:rPr>
          <w:rFonts w:cs="Times New Roman"/>
          <w:lang w:val="fr-CA"/>
        </w:rPr>
        <w:t>re province » : Edinger, p. 67.</w:t>
      </w:r>
    </w:p>
    <w:p w:rsidR="00CF3116" w:rsidRPr="00F52D1E" w:rsidRDefault="00CF3116" w:rsidP="00CF3116">
      <w:pPr>
        <w:pStyle w:val="ParaNoNdepar-AltN"/>
        <w:rPr>
          <w:rFonts w:cs="Times New Roman"/>
          <w:lang w:val="fr-CA"/>
        </w:rPr>
      </w:pPr>
      <w:r w:rsidRPr="00F52D1E">
        <w:rPr>
          <w:rFonts w:cs="Times New Roman"/>
          <w:lang w:val="fr-CA"/>
        </w:rPr>
        <w:t>Bref, ce sont les règles du droit international privé — et non la compétence inhérente des cours supérieures provinciales — qui les autorisent parfois à exercer leurs pouvoirs à l’égard de personnes ou de biens qui ne sont pas situés à l’intérieur des limites territoriales de la province. On ne peut donc les écarter pour ne s’en remettre qu’à une compétence inhérente qui ne peut, en principe, s’exercer que sur le territoire de la province. Les règles du droit international privé sont d’une nature différente, législative, et sont autorisatrices. En d’autres mots, elles peuvent à elles seules autoriser l’exercice extraterritorial d’un pouvoir qui, autrement, est limité à un seul territoire. Bien sûr, les règles du droit international privé doivent elles</w:t>
      </w:r>
      <w:r w:rsidRPr="00F52D1E">
        <w:rPr>
          <w:rFonts w:cs="Times New Roman"/>
          <w:lang w:val="fr-CA"/>
        </w:rPr>
        <w:noBreakHyphen/>
        <w:t xml:space="preserve">mêmes respecter les limites territoriales prévues par la Constitution : </w:t>
      </w:r>
      <w:r w:rsidRPr="00F52D1E">
        <w:rPr>
          <w:rFonts w:cs="Times New Roman"/>
          <w:i/>
          <w:lang w:val="fr-CA"/>
        </w:rPr>
        <w:t>Van Breda</w:t>
      </w:r>
      <w:r w:rsidRPr="00F52D1E">
        <w:rPr>
          <w:rFonts w:cs="Times New Roman"/>
          <w:lang w:val="fr-CA"/>
        </w:rPr>
        <w:t xml:space="preserve">, par. 21 et 34; J. Walker, </w:t>
      </w:r>
      <w:r w:rsidRPr="00F52D1E">
        <w:rPr>
          <w:rFonts w:cs="Times New Roman"/>
          <w:i/>
          <w:lang w:val="fr-CA"/>
        </w:rPr>
        <w:t>Castel &amp; Walker</w:t>
      </w:r>
      <w:r w:rsidR="00213571">
        <w:rPr>
          <w:rFonts w:cs="Times New Roman"/>
          <w:i/>
          <w:lang w:val="fr-CA"/>
        </w:rPr>
        <w:t> </w:t>
      </w:r>
      <w:r w:rsidRPr="00F52D1E">
        <w:rPr>
          <w:rFonts w:cs="Times New Roman"/>
          <w:i/>
          <w:lang w:val="fr-CA"/>
        </w:rPr>
        <w:t xml:space="preserve">: Canadian Conflict of </w:t>
      </w:r>
      <w:r w:rsidRPr="00F52D1E">
        <w:rPr>
          <w:rFonts w:cs="Times New Roman"/>
          <w:lang w:val="fr-CA"/>
        </w:rPr>
        <w:t>Laws (6</w:t>
      </w:r>
      <w:r w:rsidRPr="00F52D1E">
        <w:rPr>
          <w:rFonts w:cs="Times New Roman"/>
          <w:vertAlign w:val="superscript"/>
          <w:lang w:val="fr-CA"/>
        </w:rPr>
        <w:t>e</w:t>
      </w:r>
      <w:r w:rsidRPr="00F52D1E">
        <w:rPr>
          <w:rFonts w:cs="Times New Roman"/>
          <w:lang w:val="fr-CA"/>
        </w:rPr>
        <w:t xml:space="preserve"> éd. (feuilles mobiles)), vol. 1, p. 1</w:t>
      </w:r>
      <w:r w:rsidRPr="00F52D1E">
        <w:rPr>
          <w:rFonts w:cs="Times New Roman"/>
          <w:lang w:val="fr-CA"/>
        </w:rPr>
        <w:noBreakHyphen/>
        <w:t xml:space="preserve">5; </w:t>
      </w:r>
      <w:r w:rsidRPr="00F52D1E">
        <w:rPr>
          <w:rFonts w:cs="Times New Roman"/>
          <w:i/>
          <w:lang w:val="fr-CA"/>
        </w:rPr>
        <w:t>Dupont c. Taronga Holdings Ltd.</w:t>
      </w:r>
      <w:r w:rsidRPr="00F52D1E">
        <w:rPr>
          <w:rFonts w:cs="Times New Roman"/>
          <w:lang w:val="fr-CA"/>
        </w:rPr>
        <w:t>, [1987] R.J.Q. 124 (C.S.), p. 127. C’est ce point que n</w:t>
      </w:r>
      <w:r w:rsidR="009E2F25">
        <w:rPr>
          <w:rFonts w:cs="Times New Roman"/>
          <w:lang w:val="fr-CA"/>
        </w:rPr>
        <w:t>ous allons maintenant examiner.</w:t>
      </w:r>
    </w:p>
    <w:p w:rsidR="00CF3116" w:rsidRPr="00F52D1E" w:rsidRDefault="00CF3116" w:rsidP="00CF3116">
      <w:pPr>
        <w:pStyle w:val="Title3LevelTitre3Niveau"/>
        <w:tabs>
          <w:tab w:val="clear" w:pos="1152"/>
        </w:tabs>
        <w:ind w:left="1530"/>
        <w:rPr>
          <w:rFonts w:cs="Times New Roman"/>
          <w:lang w:val="fr-CA"/>
        </w:rPr>
      </w:pPr>
      <w:bookmarkStart w:id="57" w:name="_Toc11660750"/>
      <w:bookmarkStart w:id="58" w:name="_Toc29195612"/>
      <w:bookmarkStart w:id="59" w:name="_Toc31207766"/>
      <w:bookmarkStart w:id="60" w:name="_Toc32309428"/>
      <w:bookmarkStart w:id="61" w:name="_Toc32852583"/>
      <w:bookmarkStart w:id="62" w:name="_Toc33007297"/>
      <w:r w:rsidRPr="00F52D1E">
        <w:rPr>
          <w:rFonts w:cs="Times New Roman"/>
          <w:lang w:val="fr-CA"/>
        </w:rPr>
        <w:t>Limites territoriales prévues par la Constitution</w:t>
      </w:r>
      <w:bookmarkEnd w:id="57"/>
      <w:bookmarkEnd w:id="58"/>
      <w:bookmarkEnd w:id="59"/>
      <w:bookmarkEnd w:id="60"/>
      <w:bookmarkEnd w:id="61"/>
      <w:bookmarkEnd w:id="62"/>
    </w:p>
    <w:p w:rsidR="00CF3116" w:rsidRPr="00F52D1E" w:rsidRDefault="00CF3116" w:rsidP="00CF3116">
      <w:pPr>
        <w:pStyle w:val="ParaNoNdepar-AltN"/>
        <w:rPr>
          <w:rFonts w:cs="Times New Roman"/>
          <w:lang w:val="fr-CA"/>
        </w:rPr>
      </w:pPr>
      <w:r w:rsidRPr="00F52D1E">
        <w:rPr>
          <w:rFonts w:cs="Times New Roman"/>
          <w:lang w:val="fr-CA"/>
        </w:rPr>
        <w:t xml:space="preserve">Comme le souligne le PGC dans son mémoire, les droits existants — ancestraux ou issus de traités — des peuples autochtones du Canada sont reconnus et confirmés par la Constitution. Cependant, il existe aussi au Canada un « cadre constitutionnel qui limite la portée extraterritoriale des lois provinciales et des tribunaux provinciaux » : </w:t>
      </w:r>
      <w:r w:rsidRPr="00F52D1E">
        <w:rPr>
          <w:rFonts w:cs="Times New Roman"/>
          <w:i/>
          <w:lang w:val="fr-CA"/>
        </w:rPr>
        <w:t>Van Breda</w:t>
      </w:r>
      <w:r w:rsidRPr="00F52D1E">
        <w:rPr>
          <w:rFonts w:cs="Times New Roman"/>
          <w:lang w:val="fr-CA"/>
        </w:rPr>
        <w:t xml:space="preserve">, par. 21. En effet, et comme notre Cour l’a déjà reconnu, la Constitution attribue des pouvoirs aux provinces, mais elle n’en autorise </w:t>
      </w:r>
      <w:r w:rsidRPr="00F52D1E">
        <w:rPr>
          <w:rFonts w:cs="Times New Roman"/>
          <w:lang w:val="fr-CA"/>
        </w:rPr>
        <w:lastRenderedPageBreak/>
        <w:t>l’exercice que sur leur territoire : par. 21. Ces restrictions territoriales prévues par la Constitution sont inhérent</w:t>
      </w:r>
      <w:r w:rsidR="009E2F25">
        <w:rPr>
          <w:rFonts w:cs="Times New Roman"/>
          <w:lang w:val="fr-CA"/>
        </w:rPr>
        <w:t>es à la fédération canadienne :</w:t>
      </w:r>
    </w:p>
    <w:p w:rsidR="00CF3116" w:rsidRPr="00F52D1E" w:rsidRDefault="00CF3116" w:rsidP="00CF3116">
      <w:pPr>
        <w:pStyle w:val="Citation-AltC"/>
        <w:ind w:firstLine="274"/>
        <w:rPr>
          <w:lang w:val="fr-CA"/>
        </w:rPr>
      </w:pPr>
      <w:r w:rsidRPr="00F52D1E">
        <w:rPr>
          <w:lang w:val="fr-CA"/>
        </w:rPr>
        <w:t>[</w:t>
      </w:r>
      <w:r w:rsidRPr="00F52D1E">
        <w:rPr>
          <w:smallCaps/>
          <w:lang w:val="fr-CA"/>
        </w:rPr>
        <w:t>traduction</w:t>
      </w:r>
      <w:proofErr w:type="gramStart"/>
      <w:r w:rsidR="00405624">
        <w:rPr>
          <w:lang w:val="fr-CA"/>
        </w:rPr>
        <w:t>] .</w:t>
      </w:r>
      <w:proofErr w:type="gramEnd"/>
      <w:r w:rsidR="00405624">
        <w:rPr>
          <w:lang w:val="fr-CA"/>
        </w:rPr>
        <w:t> . .</w:t>
      </w:r>
      <w:r w:rsidRPr="00F52D1E">
        <w:rPr>
          <w:lang w:val="fr-CA"/>
        </w:rPr>
        <w:t xml:space="preserve"> </w:t>
      </w:r>
      <w:r w:rsidRPr="00F52D1E">
        <w:rPr>
          <w:u w:val="single"/>
          <w:lang w:val="fr-CA"/>
        </w:rPr>
        <w:t>dans un système fédéral, il est évident qu’une province, dont le gouvernement n’est élu que par les citoyens qui y résident et qui n’est responsable qu’envers ceux</w:t>
      </w:r>
      <w:r w:rsidRPr="00F52D1E">
        <w:rPr>
          <w:u w:val="single"/>
          <w:lang w:val="fr-CA"/>
        </w:rPr>
        <w:noBreakHyphen/>
        <w:t>ci, ne devrait pas avoir de pouvoirs étendus en dehors de son territoire, où les gouvernements d’autres provinces sont mieux placés pour y gouverner</w:t>
      </w:r>
      <w:r w:rsidRPr="00F52D1E">
        <w:rPr>
          <w:lang w:val="fr-CA"/>
        </w:rPr>
        <w:t xml:space="preserve">. Il n’est donc pas surprenant que la </w:t>
      </w:r>
      <w:r w:rsidRPr="00F52D1E">
        <w:rPr>
          <w:i/>
          <w:lang w:val="fr-CA"/>
        </w:rPr>
        <w:t>Loi constitutionnelle de 1867</w:t>
      </w:r>
      <w:r w:rsidRPr="00F52D1E">
        <w:rPr>
          <w:lang w:val="fr-CA"/>
        </w:rPr>
        <w:t xml:space="preserve"> répartisse le pouvoir législatif provincial en des termes qui limitent assez clairement sa portée sur le plan territorial. Le libellé des dispositions qui confèrent un pouvoir aux législatures provinciales, soit </w:t>
      </w:r>
      <w:proofErr w:type="gramStart"/>
      <w:r w:rsidRPr="00F52D1E">
        <w:rPr>
          <w:lang w:val="fr-CA"/>
        </w:rPr>
        <w:t>les art</w:t>
      </w:r>
      <w:proofErr w:type="gramEnd"/>
      <w:r w:rsidRPr="00F52D1E">
        <w:rPr>
          <w:lang w:val="fr-CA"/>
        </w:rPr>
        <w:t>. 92, 92A, 93 et 95, débute par les mots « Dans chaque province » ou « La législature de chaque province » et chaque catégorie de sujets énumérés à l’art. 92 comme relevant du pouvoir législatif provincial contient l’expression « dans la province » ou une autre indication d’une limitation territoriale. [Nous soulignons; note en bas de page omise.]</w:t>
      </w:r>
    </w:p>
    <w:p w:rsidR="00CF3116" w:rsidRPr="00F52D1E" w:rsidRDefault="00CF3116" w:rsidP="00CF3116">
      <w:pPr>
        <w:pStyle w:val="Citation-AltC"/>
        <w:rPr>
          <w:lang w:val="fr-CA"/>
        </w:rPr>
      </w:pPr>
    </w:p>
    <w:p w:rsidR="00CF3116" w:rsidRPr="00F52D1E" w:rsidRDefault="00CF3116" w:rsidP="005A55C1">
      <w:pPr>
        <w:pStyle w:val="Citation-AltC"/>
        <w:ind w:left="0"/>
        <w:rPr>
          <w:lang w:val="fr-CA"/>
        </w:rPr>
      </w:pPr>
      <w:r w:rsidRPr="00F52D1E">
        <w:rPr>
          <w:lang w:val="fr-CA"/>
        </w:rPr>
        <w:t xml:space="preserve">(P. W. Hogg, </w:t>
      </w:r>
      <w:r w:rsidRPr="00F52D1E">
        <w:rPr>
          <w:i/>
          <w:lang w:val="fr-CA"/>
        </w:rPr>
        <w:t>Constitutional Law of Canada</w:t>
      </w:r>
      <w:r w:rsidRPr="00F52D1E">
        <w:rPr>
          <w:lang w:val="fr-CA"/>
        </w:rPr>
        <w:t xml:space="preserve"> (5</w:t>
      </w:r>
      <w:r w:rsidRPr="00F52D1E">
        <w:rPr>
          <w:vertAlign w:val="superscript"/>
          <w:lang w:val="fr-CA"/>
        </w:rPr>
        <w:t>e</w:t>
      </w:r>
      <w:r w:rsidRPr="00F52D1E">
        <w:rPr>
          <w:lang w:val="fr-CA"/>
        </w:rPr>
        <w:t xml:space="preserve"> éd. suppl. </w:t>
      </w:r>
      <w:r w:rsidRPr="00F52D1E">
        <w:t>(feuilles mobiles)</w:t>
      </w:r>
      <w:r w:rsidRPr="00F52D1E">
        <w:rPr>
          <w:lang w:val="fr-CA"/>
        </w:rPr>
        <w:t>), vol. 1, p. 13</w:t>
      </w:r>
      <w:r w:rsidRPr="00F52D1E">
        <w:noBreakHyphen/>
      </w:r>
      <w:r w:rsidRPr="00F52D1E">
        <w:rPr>
          <w:lang w:val="fr-CA"/>
        </w:rPr>
        <w:t>4)</w:t>
      </w:r>
    </w:p>
    <w:p w:rsidR="00CF3116" w:rsidRPr="00F52D1E" w:rsidRDefault="00CF3116" w:rsidP="00CF3116">
      <w:pPr>
        <w:pStyle w:val="ParaNoNdepar-AltN"/>
        <w:rPr>
          <w:rFonts w:cs="Times New Roman"/>
          <w:lang w:val="fr-CA"/>
        </w:rPr>
      </w:pPr>
      <w:r w:rsidRPr="00F52D1E">
        <w:rPr>
          <w:rFonts w:cs="Times New Roman"/>
          <w:lang w:val="fr-CA"/>
        </w:rPr>
        <w:t>Les limites territoriales de la compétence des autorités provinciales « reflètent les exigences d’ordre et d’équité qui sous</w:t>
      </w:r>
      <w:r w:rsidRPr="00F52D1E">
        <w:rPr>
          <w:rFonts w:cs="Times New Roman"/>
          <w:lang w:val="fr-CA"/>
        </w:rPr>
        <w:noBreakHyphen/>
        <w:t xml:space="preserve">tendent les structures fédérales canadiennes » : </w:t>
      </w:r>
      <w:r w:rsidRPr="00F52D1E">
        <w:rPr>
          <w:rFonts w:cs="Times New Roman"/>
          <w:i/>
          <w:lang w:val="fr-CA"/>
        </w:rPr>
        <w:t>Colombie</w:t>
      </w:r>
      <w:r w:rsidRPr="00F52D1E">
        <w:rPr>
          <w:rFonts w:cs="Times New Roman"/>
          <w:i/>
          <w:lang w:val="fr-CA"/>
        </w:rPr>
        <w:noBreakHyphen/>
        <w:t>Britannique c. Imperial Tobacco Canada Ltée</w:t>
      </w:r>
      <w:r w:rsidRPr="00F52D1E">
        <w:rPr>
          <w:rFonts w:cs="Times New Roman"/>
          <w:lang w:val="fr-CA"/>
        </w:rPr>
        <w:t xml:space="preserve">, 2005 CSC 49, [2005] 2 R.C.S. 473, par. 27. Ces limites constitutionnelles affectent la compétence provinciale </w:t>
      </w:r>
      <w:r w:rsidRPr="00F52D1E">
        <w:rPr>
          <w:rFonts w:cs="Times New Roman"/>
          <w:i/>
          <w:lang w:val="fr-CA"/>
        </w:rPr>
        <w:t>législative</w:t>
      </w:r>
      <w:r w:rsidRPr="00F52D1E">
        <w:rPr>
          <w:rFonts w:cs="Times New Roman"/>
          <w:lang w:val="fr-CA"/>
        </w:rPr>
        <w:t xml:space="preserve">, mais aussi, par voie de conséquence, la compétence provinciale </w:t>
      </w:r>
      <w:r w:rsidRPr="00F52D1E">
        <w:rPr>
          <w:rFonts w:cs="Times New Roman"/>
          <w:i/>
          <w:lang w:val="fr-CA"/>
        </w:rPr>
        <w:t>juridictionnelle</w:t>
      </w:r>
      <w:r w:rsidRPr="00F52D1E">
        <w:rPr>
          <w:rFonts w:cs="Times New Roman"/>
          <w:lang w:val="fr-CA"/>
        </w:rPr>
        <w:t xml:space="preserve">. En effet, comme notre Cour l’a affirmé dans </w:t>
      </w:r>
      <w:r w:rsidRPr="00F52D1E">
        <w:rPr>
          <w:rFonts w:cs="Times New Roman"/>
          <w:i/>
          <w:lang w:val="fr-CA"/>
        </w:rPr>
        <w:t>Tolofson c. Jensen</w:t>
      </w:r>
      <w:r w:rsidRPr="00F52D1E">
        <w:rPr>
          <w:rFonts w:cs="Times New Roman"/>
          <w:lang w:val="fr-CA"/>
        </w:rPr>
        <w:t xml:space="preserve">, [1994] 3 R.C.S. 1022, à la p. 1065, « il semblerait que les tribunaux soient limités dans l’exercice de leurs pouvoirs de la même façon que les législatures provinciales » (voir aussi Swan, p. 309). Or, le pouvoir législatif des provinces au titre du par. 92(14) de la </w:t>
      </w:r>
      <w:r w:rsidRPr="00F52D1E">
        <w:rPr>
          <w:rFonts w:cs="Times New Roman"/>
          <w:i/>
          <w:lang w:val="fr-CA"/>
        </w:rPr>
        <w:t>Loi constitutionnelle de 1867</w:t>
      </w:r>
      <w:r w:rsidRPr="00F52D1E">
        <w:rPr>
          <w:rFonts w:cs="Times New Roman"/>
          <w:lang w:val="fr-CA"/>
        </w:rPr>
        <w:t xml:space="preserve"> est limité à « [l]’administration de la justice </w:t>
      </w:r>
      <w:r w:rsidRPr="00F52D1E">
        <w:rPr>
          <w:rFonts w:cs="Times New Roman"/>
          <w:u w:val="single"/>
          <w:lang w:val="fr-CA"/>
        </w:rPr>
        <w:t>dans la province</w:t>
      </w:r>
      <w:r w:rsidRPr="00F52D1E">
        <w:rPr>
          <w:rFonts w:cs="Times New Roman"/>
          <w:lang w:val="fr-CA"/>
        </w:rPr>
        <w:t xml:space="preserve"> ». Il s’ensuit que la compétence des cours supérieures provinciales constituées en vertu de ce paragraphe est elle aussi nécessairement limitée au territoire de la </w:t>
      </w:r>
      <w:r w:rsidRPr="00F52D1E">
        <w:rPr>
          <w:rFonts w:cs="Times New Roman"/>
          <w:lang w:val="fr-CA"/>
        </w:rPr>
        <w:lastRenderedPageBreak/>
        <w:t xml:space="preserve">province : voir, en ce sens, </w:t>
      </w:r>
      <w:r w:rsidRPr="00F52D1E">
        <w:rPr>
          <w:rFonts w:cs="Times New Roman"/>
          <w:i/>
          <w:lang w:val="fr-CA"/>
        </w:rPr>
        <w:t>McGuire c. McGuire</w:t>
      </w:r>
      <w:r w:rsidRPr="00F52D1E">
        <w:rPr>
          <w:rFonts w:cs="Times New Roman"/>
          <w:lang w:val="fr-CA"/>
        </w:rPr>
        <w:t xml:space="preserve">, [1953] O.R. 328 (C.A.), p. 334; </w:t>
      </w:r>
      <w:r w:rsidRPr="00F52D1E">
        <w:rPr>
          <w:rFonts w:cs="Times New Roman"/>
          <w:i/>
          <w:lang w:val="fr-CA"/>
        </w:rPr>
        <w:t>Re</w:t>
      </w:r>
      <w:r w:rsidRPr="00F52D1E">
        <w:rPr>
          <w:rFonts w:cs="Times New Roman"/>
          <w:lang w:val="fr-CA"/>
        </w:rPr>
        <w:t xml:space="preserve"> </w:t>
      </w:r>
      <w:r w:rsidRPr="00F52D1E">
        <w:rPr>
          <w:rFonts w:cs="Times New Roman"/>
          <w:i/>
          <w:lang w:val="fr-CA"/>
        </w:rPr>
        <w:t xml:space="preserve">Vantel Broadcasting Co. Ltd. and Canada Labour Relations Board </w:t>
      </w:r>
      <w:r w:rsidRPr="00F52D1E">
        <w:rPr>
          <w:rFonts w:cs="Times New Roman"/>
          <w:lang w:val="fr-CA"/>
        </w:rPr>
        <w:t>(1962), 35 D.L.R.</w:t>
      </w:r>
      <w:r w:rsidR="009E2F25">
        <w:rPr>
          <w:rFonts w:cs="Times New Roman"/>
          <w:lang w:val="fr-CA"/>
        </w:rPr>
        <w:t xml:space="preserve"> (2d) 620 (C.A. C.</w:t>
      </w:r>
      <w:r w:rsidR="009E2F25">
        <w:rPr>
          <w:rFonts w:cs="Times New Roman"/>
          <w:lang w:val="fr-CA"/>
        </w:rPr>
        <w:noBreakHyphen/>
        <w:t>B.), p. 624.</w:t>
      </w:r>
    </w:p>
    <w:p w:rsidR="00CF3116" w:rsidRPr="00F52D1E" w:rsidRDefault="00CF3116" w:rsidP="00CF3116">
      <w:pPr>
        <w:pStyle w:val="ParaNoNdepar-AltN"/>
        <w:rPr>
          <w:rFonts w:cs="Times New Roman"/>
          <w:lang w:val="fr-CA"/>
        </w:rPr>
      </w:pPr>
      <w:r w:rsidRPr="00F52D1E">
        <w:rPr>
          <w:rFonts w:cs="Times New Roman"/>
          <w:lang w:val="fr-CA"/>
        </w:rPr>
        <w:t xml:space="preserve">En outre, les pouvoirs conférés par les règles du droit international privé relèvent de la compétence législative provinciale au titre des par. 92(13) (« [l]a propriété et les droits civils ») et 92(14) (« [l]’administration de la justice ») de la </w:t>
      </w:r>
      <w:r w:rsidRPr="00F52D1E">
        <w:rPr>
          <w:rFonts w:cs="Times New Roman"/>
          <w:i/>
          <w:lang w:val="fr-CA"/>
        </w:rPr>
        <w:t>Loi constitutionnelle de 1867</w:t>
      </w:r>
      <w:r w:rsidRPr="00F52D1E">
        <w:rPr>
          <w:rFonts w:cs="Times New Roman"/>
          <w:lang w:val="fr-CA"/>
        </w:rPr>
        <w:t xml:space="preserve"> et sont </w:t>
      </w:r>
      <w:r w:rsidRPr="00F52D1E">
        <w:rPr>
          <w:rFonts w:cs="Times New Roman"/>
          <w:i/>
          <w:lang w:val="fr-CA"/>
        </w:rPr>
        <w:t>expressément</w:t>
      </w:r>
      <w:r w:rsidRPr="00F52D1E">
        <w:rPr>
          <w:rFonts w:cs="Times New Roman"/>
          <w:lang w:val="fr-CA"/>
        </w:rPr>
        <w:t xml:space="preserve"> limités par les termes « dans la province » : G. D. Watson et F. Au, « Constitutional Limits on Service Ex Juris : Unanswered Questions from Morguard » (2000), 23 </w:t>
      </w:r>
      <w:r w:rsidRPr="00F52D1E">
        <w:rPr>
          <w:rFonts w:cs="Times New Roman"/>
          <w:i/>
          <w:lang w:val="fr-CA"/>
        </w:rPr>
        <w:t>Adv. Q.</w:t>
      </w:r>
      <w:r w:rsidR="009E2F25">
        <w:rPr>
          <w:rFonts w:cs="Times New Roman"/>
          <w:lang w:val="fr-CA"/>
        </w:rPr>
        <w:t xml:space="preserve"> 167, p. 175</w:t>
      </w:r>
      <w:r w:rsidR="009E2F25">
        <w:rPr>
          <w:rFonts w:cs="Times New Roman"/>
          <w:lang w:val="fr-CA"/>
        </w:rPr>
        <w:noBreakHyphen/>
        <w:t>176.</w:t>
      </w:r>
    </w:p>
    <w:p w:rsidR="00CF3116" w:rsidRPr="00F52D1E" w:rsidRDefault="00CF3116" w:rsidP="00CF3116">
      <w:pPr>
        <w:pStyle w:val="Title3LevelTitre3Niveau"/>
        <w:tabs>
          <w:tab w:val="clear" w:pos="1152"/>
        </w:tabs>
        <w:ind w:left="1530"/>
        <w:rPr>
          <w:rFonts w:cs="Times New Roman"/>
          <w:lang w:val="fr-CA"/>
        </w:rPr>
      </w:pPr>
      <w:bookmarkStart w:id="63" w:name="_Toc11660751"/>
      <w:bookmarkStart w:id="64" w:name="_Toc29195613"/>
      <w:bookmarkStart w:id="65" w:name="_Toc31207767"/>
      <w:bookmarkStart w:id="66" w:name="_Toc32309429"/>
      <w:bookmarkStart w:id="67" w:name="_Toc32852584"/>
      <w:bookmarkStart w:id="68" w:name="_Toc33007298"/>
      <w:r w:rsidRPr="00F52D1E">
        <w:rPr>
          <w:rFonts w:cs="Times New Roman"/>
          <w:lang w:val="fr-CA"/>
        </w:rPr>
        <w:t>Conclusion sur les observations générales</w:t>
      </w:r>
      <w:bookmarkEnd w:id="63"/>
      <w:bookmarkEnd w:id="64"/>
      <w:bookmarkEnd w:id="65"/>
      <w:bookmarkEnd w:id="66"/>
      <w:bookmarkEnd w:id="67"/>
      <w:bookmarkEnd w:id="68"/>
    </w:p>
    <w:p w:rsidR="00CF3116" w:rsidRPr="00F52D1E" w:rsidRDefault="00CF3116" w:rsidP="00CF3116">
      <w:pPr>
        <w:pStyle w:val="ParaNoNdepar-AltN"/>
        <w:rPr>
          <w:rFonts w:cs="Times New Roman"/>
          <w:lang w:val="fr-CA"/>
        </w:rPr>
      </w:pPr>
      <w:r w:rsidRPr="00F52D1E">
        <w:rPr>
          <w:rFonts w:cs="Times New Roman"/>
          <w:lang w:val="fr-CA"/>
        </w:rPr>
        <w:t xml:space="preserve">Les propos qui précèdent posent le cadre d’analyse applicable. Pour trancher le pourvoi, il faut, dans un premier temps, se demander si les règles du droit international privé figurant au Livre dixième du </w:t>
      </w:r>
      <w:r w:rsidRPr="00F52D1E">
        <w:rPr>
          <w:rFonts w:cs="Times New Roman"/>
          <w:i/>
          <w:lang w:val="fr-CA"/>
        </w:rPr>
        <w:t>C.c.Q.</w:t>
      </w:r>
      <w:r w:rsidRPr="00F52D1E">
        <w:rPr>
          <w:rFonts w:cs="Times New Roman"/>
          <w:lang w:val="fr-CA"/>
        </w:rPr>
        <w:t xml:space="preserve"> confèrent à la Cour supérieure du Québec la compétence d’entendre une demande en reconnaissance ou en protection d’un titre ancestral ou d’autres droits ancestraux ou issus de traités sur des terres qui sont situées à l’extérieur du Québec. Dans la négative, aucune autre analyse n’est nécessaire puisqu’une cour supérieure provinciale n’a aucune </w:t>
      </w:r>
      <w:r w:rsidRPr="00F52D1E">
        <w:rPr>
          <w:rFonts w:cs="Times New Roman"/>
          <w:i/>
          <w:lang w:val="fr-CA"/>
        </w:rPr>
        <w:t>compétence</w:t>
      </w:r>
      <w:r w:rsidRPr="00F52D1E">
        <w:rPr>
          <w:rFonts w:cs="Times New Roman"/>
          <w:lang w:val="fr-CA"/>
        </w:rPr>
        <w:t xml:space="preserve"> </w:t>
      </w:r>
      <w:r w:rsidRPr="00F52D1E">
        <w:rPr>
          <w:rFonts w:cs="Times New Roman"/>
          <w:i/>
          <w:lang w:val="fr-CA"/>
        </w:rPr>
        <w:t>inhérente</w:t>
      </w:r>
      <w:r w:rsidRPr="00F52D1E">
        <w:rPr>
          <w:rFonts w:cs="Times New Roman"/>
          <w:lang w:val="fr-CA"/>
        </w:rPr>
        <w:t xml:space="preserve"> à l’égard d’un immeuble situé à l’extérieur de la province. Cependant, dans l’affirmative, on se demandera, dans un second temps, si une telle règle du droit international privé conférant compétence à la Cour supérieure du Québec à l’égard d’un immeuble situé à l’extérieur du Québec est conforme à la Constitution : R. E. Sullivan, « Interpreting the Territorial Limitations on the Provinces » (1985), 7 </w:t>
      </w:r>
      <w:r w:rsidRPr="00F52D1E">
        <w:rPr>
          <w:rFonts w:cs="Times New Roman"/>
          <w:i/>
          <w:lang w:val="fr-CA"/>
        </w:rPr>
        <w:t xml:space="preserve">S.C.L.R. </w:t>
      </w:r>
      <w:r w:rsidRPr="00F52D1E">
        <w:rPr>
          <w:rFonts w:cs="Times New Roman"/>
          <w:lang w:val="fr-CA"/>
        </w:rPr>
        <w:t>511, p. 512.</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Ce cadre d’analyse n’est aucunement modifié par le fait que les droits ancestraux font partie du droit public (B. Slattery, « The Constitutional Dimensions of Aboriginal Title » (2015), 71 </w:t>
      </w:r>
      <w:r w:rsidRPr="00F52D1E">
        <w:rPr>
          <w:rFonts w:cs="Times New Roman"/>
          <w:i/>
          <w:lang w:val="fr-CA"/>
        </w:rPr>
        <w:t>S.C.L.R.</w:t>
      </w:r>
      <w:r w:rsidRPr="00F52D1E">
        <w:rPr>
          <w:rFonts w:cs="Times New Roman"/>
          <w:lang w:val="fr-CA"/>
        </w:rPr>
        <w:t xml:space="preserve"> (2d) 45, p. 47) ou relèvent de la common law fédérale (</w:t>
      </w:r>
      <w:r w:rsidRPr="00F52D1E">
        <w:rPr>
          <w:rFonts w:cs="Times New Roman"/>
          <w:i/>
          <w:lang w:val="fr-CA"/>
        </w:rPr>
        <w:t>Calder c. Procureur général de la Colombie</w:t>
      </w:r>
      <w:r w:rsidRPr="00F52D1E">
        <w:rPr>
          <w:rFonts w:cs="Times New Roman"/>
          <w:i/>
          <w:lang w:val="fr-CA"/>
        </w:rPr>
        <w:noBreakHyphen/>
        <w:t>Britannique</w:t>
      </w:r>
      <w:r w:rsidRPr="00F52D1E">
        <w:rPr>
          <w:rFonts w:cs="Times New Roman"/>
          <w:lang w:val="fr-CA"/>
        </w:rPr>
        <w:t>, [1973] R.C.S. 313 (« </w:t>
      </w:r>
      <w:r w:rsidRPr="00F52D1E">
        <w:rPr>
          <w:rFonts w:cs="Times New Roman"/>
          <w:i/>
          <w:lang w:val="fr-CA"/>
        </w:rPr>
        <w:t>Calder</w:t>
      </w:r>
      <w:r w:rsidRPr="00F52D1E">
        <w:rPr>
          <w:rFonts w:cs="Times New Roman"/>
          <w:lang w:val="fr-CA"/>
        </w:rPr>
        <w:t xml:space="preserve"> (1973) »); </w:t>
      </w:r>
      <w:r w:rsidRPr="00F52D1E">
        <w:rPr>
          <w:rFonts w:cs="Times New Roman"/>
          <w:i/>
          <w:lang w:val="fr-CA"/>
        </w:rPr>
        <w:t>Roberts c. Canada</w:t>
      </w:r>
      <w:r w:rsidRPr="00F52D1E">
        <w:rPr>
          <w:rFonts w:cs="Times New Roman"/>
          <w:lang w:val="fr-CA"/>
        </w:rPr>
        <w:t xml:space="preserve">, [1989] 1 R.C.S. 322, p. 340; </w:t>
      </w:r>
      <w:r w:rsidRPr="00F52D1E">
        <w:rPr>
          <w:rFonts w:cs="Times New Roman"/>
          <w:i/>
          <w:lang w:val="fr-CA"/>
        </w:rPr>
        <w:t>R. c. Van der Peet</w:t>
      </w:r>
      <w:r w:rsidRPr="00F52D1E">
        <w:rPr>
          <w:rFonts w:cs="Times New Roman"/>
          <w:lang w:val="fr-CA"/>
        </w:rPr>
        <w:t>,</w:t>
      </w:r>
      <w:r w:rsidR="009E2F25">
        <w:rPr>
          <w:rFonts w:cs="Times New Roman"/>
          <w:lang w:val="fr-CA"/>
        </w:rPr>
        <w:t xml:space="preserve"> [1996] 2 R.C.S. 507, par. 28).</w:t>
      </w:r>
    </w:p>
    <w:p w:rsidR="00CF3116" w:rsidRPr="00F52D1E" w:rsidRDefault="00CF3116" w:rsidP="00CF3116">
      <w:pPr>
        <w:pStyle w:val="ParaNoNdepar-AltN"/>
        <w:rPr>
          <w:rFonts w:cs="Times New Roman"/>
          <w:lang w:val="fr-CA"/>
        </w:rPr>
      </w:pPr>
      <w:r w:rsidRPr="00F52D1E">
        <w:rPr>
          <w:rFonts w:cs="Times New Roman"/>
          <w:lang w:val="fr-CA"/>
        </w:rPr>
        <w:t xml:space="preserve">Premièrement, le </w:t>
      </w:r>
      <w:r w:rsidRPr="00F52D1E">
        <w:rPr>
          <w:rFonts w:cs="Times New Roman"/>
          <w:i/>
          <w:lang w:val="fr-CA"/>
        </w:rPr>
        <w:t>C.c.Q.</w:t>
      </w:r>
      <w:r w:rsidRPr="00F52D1E">
        <w:rPr>
          <w:rFonts w:cs="Times New Roman"/>
          <w:lang w:val="fr-CA"/>
        </w:rPr>
        <w:t xml:space="preserve"> ne contient pas seulement des règles de « droit privé »; il constitue plutôt le « droit commun » du Québec, comme l’énonce expressément sa disposition préliminaire. Ainsi, dans les matières auxquelles il se rapporte — ce qui comprend la compétence des autorités québécoises, qui fait l’objet du titre troisième du Livre dixième — le </w:t>
      </w:r>
      <w:r w:rsidRPr="00F52D1E">
        <w:rPr>
          <w:rFonts w:cs="Times New Roman"/>
          <w:i/>
          <w:lang w:val="fr-CA"/>
        </w:rPr>
        <w:t>C.c.Q.</w:t>
      </w:r>
      <w:r w:rsidRPr="00F52D1E">
        <w:rPr>
          <w:rFonts w:cs="Times New Roman"/>
          <w:lang w:val="fr-CA"/>
        </w:rPr>
        <w:t xml:space="preserve"> couvre certains aspects de droit public : </w:t>
      </w:r>
      <w:r w:rsidRPr="00F52D1E">
        <w:rPr>
          <w:rFonts w:cs="Times New Roman"/>
          <w:i/>
          <w:lang w:val="fr-CA"/>
        </w:rPr>
        <w:t>Prud’homme c. Prud’homme</w:t>
      </w:r>
      <w:r w:rsidRPr="00F52D1E">
        <w:rPr>
          <w:rFonts w:cs="Times New Roman"/>
          <w:lang w:val="fr-CA"/>
        </w:rPr>
        <w:t>, 2002 CSC 85, [2002] 4 R.C.S. 663, par. 28</w:t>
      </w:r>
      <w:r w:rsidRPr="00F52D1E">
        <w:rPr>
          <w:rFonts w:cs="Times New Roman"/>
          <w:lang w:val="fr-CA"/>
        </w:rPr>
        <w:noBreakHyphen/>
        <w:t xml:space="preserve">29; </w:t>
      </w:r>
      <w:r w:rsidRPr="00F52D1E">
        <w:rPr>
          <w:rFonts w:cs="Times New Roman"/>
          <w:i/>
          <w:lang w:val="fr-CA"/>
        </w:rPr>
        <w:t>Doré c. Verdun (Ville)</w:t>
      </w:r>
      <w:r w:rsidRPr="00F52D1E">
        <w:rPr>
          <w:rFonts w:cs="Times New Roman"/>
          <w:lang w:val="fr-CA"/>
        </w:rPr>
        <w:t>, [1997] 2 R.C.S. 862, par. 15</w:t>
      </w:r>
      <w:r w:rsidRPr="00F52D1E">
        <w:rPr>
          <w:rFonts w:cs="Times New Roman"/>
          <w:lang w:val="fr-CA"/>
        </w:rPr>
        <w:noBreakHyphen/>
        <w:t>21; A.</w:t>
      </w:r>
      <w:r w:rsidRPr="00F52D1E">
        <w:rPr>
          <w:rFonts w:cs="Times New Roman"/>
          <w:lang w:val="fr-CA"/>
        </w:rPr>
        <w:noBreakHyphen/>
        <w:t xml:space="preserve">F. Bisson, « La Disposition préliminaire du </w:t>
      </w:r>
      <w:r w:rsidRPr="00F52D1E">
        <w:rPr>
          <w:rFonts w:cs="Times New Roman"/>
          <w:i/>
          <w:lang w:val="fr-CA"/>
        </w:rPr>
        <w:t>Code civil du Québec</w:t>
      </w:r>
      <w:r w:rsidRPr="00F52D1E">
        <w:rPr>
          <w:rFonts w:cs="Times New Roman"/>
          <w:lang w:val="fr-CA"/>
        </w:rPr>
        <w:t xml:space="preserve"> » (1999), 44 </w:t>
      </w:r>
      <w:r w:rsidRPr="00F52D1E">
        <w:rPr>
          <w:rFonts w:cs="Times New Roman"/>
          <w:i/>
          <w:lang w:val="fr-CA"/>
        </w:rPr>
        <w:t>R.D. McGill</w:t>
      </w:r>
      <w:r w:rsidRPr="00F52D1E">
        <w:rPr>
          <w:rFonts w:cs="Times New Roman"/>
          <w:lang w:val="fr-CA"/>
        </w:rPr>
        <w:t xml:space="preserve"> 539; D. Lemieux, « L’impact du </w:t>
      </w:r>
      <w:r w:rsidRPr="00F52D1E">
        <w:rPr>
          <w:rFonts w:cs="Times New Roman"/>
          <w:i/>
          <w:lang w:val="fr-CA"/>
        </w:rPr>
        <w:t>Code civil du Québec</w:t>
      </w:r>
      <w:r w:rsidRPr="00F52D1E">
        <w:rPr>
          <w:rFonts w:cs="Times New Roman"/>
          <w:lang w:val="fr-CA"/>
        </w:rPr>
        <w:t xml:space="preserve"> en droit administratif » (1994), 15 </w:t>
      </w:r>
      <w:r w:rsidRPr="00F52D1E">
        <w:rPr>
          <w:rFonts w:cs="Times New Roman"/>
          <w:i/>
          <w:lang w:val="fr-CA"/>
        </w:rPr>
        <w:t>Admin. L.R.</w:t>
      </w:r>
      <w:r w:rsidRPr="00F52D1E">
        <w:rPr>
          <w:rFonts w:cs="Times New Roman"/>
          <w:lang w:val="fr-CA"/>
        </w:rPr>
        <w:t xml:space="preserve"> (2d) 275, p. 295</w:t>
      </w:r>
      <w:r w:rsidRPr="00F52D1E">
        <w:rPr>
          <w:rFonts w:cs="Times New Roman"/>
          <w:lang w:val="fr-CA"/>
        </w:rPr>
        <w:noBreakHyphen/>
        <w:t>297; J.</w:t>
      </w:r>
      <w:r w:rsidRPr="00F52D1E">
        <w:rPr>
          <w:rFonts w:cs="Times New Roman"/>
          <w:lang w:val="fr-CA"/>
        </w:rPr>
        <w:noBreakHyphen/>
        <w:t xml:space="preserve">M. Brisson, « Le Code civil, droit commun? », dans </w:t>
      </w:r>
      <w:r w:rsidRPr="00F52D1E">
        <w:rPr>
          <w:rFonts w:cs="Times New Roman"/>
          <w:i/>
          <w:lang w:val="fr-CA"/>
        </w:rPr>
        <w:t>Le nouveau Code civil : interprétation et application — Les journées Maximilien</w:t>
      </w:r>
      <w:r w:rsidRPr="00F52D1E">
        <w:rPr>
          <w:rFonts w:cs="Times New Roman"/>
          <w:i/>
          <w:lang w:val="fr-CA"/>
        </w:rPr>
        <w:noBreakHyphen/>
        <w:t xml:space="preserve">Caron 1992 </w:t>
      </w:r>
      <w:r w:rsidRPr="00F52D1E">
        <w:rPr>
          <w:rFonts w:cs="Times New Roman"/>
          <w:lang w:val="fr-CA"/>
        </w:rPr>
        <w:t>(1993), 292, p. 312</w:t>
      </w:r>
      <w:r w:rsidRPr="00F52D1E">
        <w:rPr>
          <w:rFonts w:cs="Times New Roman"/>
          <w:lang w:val="fr-CA"/>
        </w:rPr>
        <w:noBreakHyphen/>
        <w:t xml:space="preserve">314. De plus, « [la] frontière entre le droit public et le droit privé [est] beaucoup moins claire au Canada et au Québec qu’elle ne l’est en Europe continentale », et l’« on peut assez facilement admettre que ce type de relations mixtes [à la frontière entre le droit public et le droit privé] est couvert en principe par le droit international privé » : G. Goldstein et E. Groffier, </w:t>
      </w:r>
      <w:r w:rsidRPr="00F52D1E">
        <w:rPr>
          <w:rFonts w:cs="Times New Roman"/>
          <w:i/>
          <w:lang w:val="fr-CA"/>
        </w:rPr>
        <w:t>Droit international privé</w:t>
      </w:r>
      <w:r w:rsidRPr="00F52D1E">
        <w:rPr>
          <w:rFonts w:cs="Times New Roman"/>
          <w:lang w:val="fr-CA"/>
        </w:rPr>
        <w:t xml:space="preserve">, t. I, </w:t>
      </w:r>
      <w:r w:rsidRPr="00F52D1E">
        <w:rPr>
          <w:rFonts w:cs="Times New Roman"/>
          <w:i/>
          <w:lang w:val="fr-CA"/>
        </w:rPr>
        <w:t>Théorie générale</w:t>
      </w:r>
      <w:r w:rsidRPr="00F52D1E">
        <w:rPr>
          <w:rFonts w:cs="Times New Roman"/>
          <w:lang w:val="fr-CA"/>
        </w:rPr>
        <w:t xml:space="preserve"> (1998), n° 6.</w:t>
      </w:r>
    </w:p>
    <w:p w:rsidR="00CF3116" w:rsidRPr="00F52D1E" w:rsidRDefault="00CF3116" w:rsidP="00CF3116">
      <w:pPr>
        <w:pStyle w:val="ParaNoNdepar-AltN"/>
        <w:rPr>
          <w:rFonts w:cs="Times New Roman"/>
          <w:lang w:val="fr-CA"/>
        </w:rPr>
      </w:pPr>
      <w:r w:rsidRPr="00F52D1E">
        <w:rPr>
          <w:rFonts w:cs="Times New Roman"/>
          <w:lang w:val="fr-CA"/>
        </w:rPr>
        <w:lastRenderedPageBreak/>
        <w:t>Deuxièmement, et contrairement à ce qu’a suggéré le juge de la Cour supérieure en l’espèce (par. 107) et à ce que proposent nos collègues (par. 63), la compétence des cours supérieures provinciales ne saurait être étendue du seul fait qu’un litige soulève des questions de dr</w:t>
      </w:r>
      <w:r w:rsidR="009E2F25">
        <w:rPr>
          <w:rFonts w:cs="Times New Roman"/>
          <w:lang w:val="fr-CA"/>
        </w:rPr>
        <w:t>oit fédéral ou constitutionnel.</w:t>
      </w:r>
    </w:p>
    <w:p w:rsidR="00CF3116" w:rsidRPr="00F52D1E" w:rsidRDefault="00CF3116" w:rsidP="00CF3116">
      <w:pPr>
        <w:pStyle w:val="ParaNoNdepar-AltN"/>
        <w:rPr>
          <w:rFonts w:cs="Times New Roman"/>
          <w:lang w:val="fr-CA"/>
        </w:rPr>
      </w:pPr>
      <w:r w:rsidRPr="00F52D1E">
        <w:rPr>
          <w:rFonts w:cs="Times New Roman"/>
          <w:lang w:val="fr-CA"/>
        </w:rPr>
        <w:t xml:space="preserve">Dans </w:t>
      </w:r>
      <w:r w:rsidRPr="00F52D1E">
        <w:rPr>
          <w:rFonts w:cs="Times New Roman"/>
          <w:i/>
          <w:lang w:val="fr-CA"/>
        </w:rPr>
        <w:t>Vantel</w:t>
      </w:r>
      <w:r w:rsidRPr="00F52D1E">
        <w:rPr>
          <w:rFonts w:cs="Times New Roman"/>
          <w:lang w:val="fr-CA"/>
        </w:rPr>
        <w:t>, il s’agissait de décider si une cour supérieure provinciale pouvait exercer son pouvoir de contrôle judiciaire à l’égard d’un organisme fédéral, à savoir le Conseil canadien des relations du travail, qui avait accrédité trois syndicats à titre d’agents de négociation des employés de Vantel Broadcasting Co. Ltd. Cette dernière avait alors présenté devant la Cour suprême de la Colombie</w:t>
      </w:r>
      <w:r w:rsidRPr="00F52D1E">
        <w:rPr>
          <w:rFonts w:cs="Times New Roman"/>
          <w:lang w:val="fr-CA"/>
        </w:rPr>
        <w:noBreakHyphen/>
        <w:t xml:space="preserve">Britannique, au moyen d’un bref de </w:t>
      </w:r>
      <w:r w:rsidRPr="00F52D1E">
        <w:rPr>
          <w:rFonts w:cs="Times New Roman"/>
          <w:i/>
          <w:lang w:val="fr-CA"/>
        </w:rPr>
        <w:t>certiorari</w:t>
      </w:r>
      <w:r w:rsidRPr="00F52D1E">
        <w:rPr>
          <w:rFonts w:cs="Times New Roman"/>
          <w:lang w:val="fr-CA"/>
        </w:rPr>
        <w:t>, une demande de contrôle judiciaire visant à faire annuler les certificats d’accréditation. Le juge de première instance avait conclu à l’absence de compétence de la Cour suprême de la Colombie</w:t>
      </w:r>
      <w:r w:rsidRPr="00F52D1E">
        <w:rPr>
          <w:rFonts w:cs="Times New Roman"/>
          <w:lang w:val="fr-CA"/>
        </w:rPr>
        <w:noBreakHyphen/>
        <w:t>Britannique à l’égard du Conseil, puisque le siège de celui</w:t>
      </w:r>
      <w:r w:rsidRPr="00F52D1E">
        <w:rPr>
          <w:rFonts w:cs="Times New Roman"/>
          <w:lang w:val="fr-CA"/>
        </w:rPr>
        <w:noBreakHyphen/>
        <w:t>ci se trouvait en Ontario, et non en Colombie</w:t>
      </w:r>
      <w:r w:rsidRPr="00F52D1E">
        <w:rPr>
          <w:rFonts w:cs="Times New Roman"/>
          <w:lang w:val="fr-CA"/>
        </w:rPr>
        <w:noBreakHyphen/>
        <w:t>Britannique. Vantel et tous ses employés étaient cependant résidents de la Colombie</w:t>
      </w:r>
      <w:r w:rsidRPr="00F52D1E">
        <w:rPr>
          <w:rFonts w:cs="Times New Roman"/>
          <w:lang w:val="fr-CA"/>
        </w:rPr>
        <w:noBreakHyphen/>
        <w:t>Britannique. La Cour d’appel de la Colombie</w:t>
      </w:r>
      <w:r w:rsidRPr="00F52D1E">
        <w:rPr>
          <w:rFonts w:cs="Times New Roman"/>
          <w:lang w:val="fr-CA"/>
        </w:rPr>
        <w:noBreakHyphen/>
        <w:t>Britannique a donc accueilli l’appel. Au soutien de sa conclusion selon laquelle la Cour suprême de la Colombie</w:t>
      </w:r>
      <w:r w:rsidRPr="00F52D1E">
        <w:rPr>
          <w:rFonts w:cs="Times New Roman"/>
          <w:lang w:val="fr-CA"/>
        </w:rPr>
        <w:noBreakHyphen/>
        <w:t xml:space="preserve">Britannique avait compétence sur le litige et sur les parties, la Cour d’appel a souligné que la décision du Conseil affectait </w:t>
      </w:r>
      <w:r w:rsidRPr="00F52D1E">
        <w:rPr>
          <w:rFonts w:cs="Times New Roman"/>
          <w:i/>
          <w:lang w:val="fr-CA"/>
        </w:rPr>
        <w:t>seulement</w:t>
      </w:r>
      <w:r w:rsidRPr="00F52D1E">
        <w:rPr>
          <w:rFonts w:cs="Times New Roman"/>
          <w:lang w:val="fr-CA"/>
        </w:rPr>
        <w:t xml:space="preserve"> des droits se trouvant </w:t>
      </w:r>
      <w:r w:rsidRPr="00F52D1E">
        <w:rPr>
          <w:rFonts w:cs="Times New Roman"/>
          <w:i/>
          <w:lang w:val="fr-CA"/>
        </w:rPr>
        <w:t>en Colombie</w:t>
      </w:r>
      <w:r w:rsidRPr="00F52D1E">
        <w:rPr>
          <w:rFonts w:cs="Times New Roman"/>
          <w:i/>
          <w:lang w:val="fr-CA"/>
        </w:rPr>
        <w:noBreakHyphen/>
        <w:t>Britannique</w:t>
      </w:r>
      <w:r w:rsidRPr="00F52D1E">
        <w:rPr>
          <w:rFonts w:cs="Times New Roman"/>
          <w:lang w:val="fr-CA"/>
        </w:rPr>
        <w:t> : p. 626</w:t>
      </w:r>
      <w:r w:rsidRPr="00F52D1E">
        <w:rPr>
          <w:rFonts w:cs="Times New Roman"/>
          <w:lang w:val="fr-CA"/>
        </w:rPr>
        <w:noBreakHyphen/>
        <w:t>628, le juge Davey, et p. 634</w:t>
      </w:r>
      <w:r w:rsidRPr="00F52D1E">
        <w:rPr>
          <w:rFonts w:cs="Times New Roman"/>
          <w:lang w:val="fr-CA"/>
        </w:rPr>
        <w:noBreakHyphen/>
        <w:t>636, le juge Sheppard.</w:t>
      </w:r>
    </w:p>
    <w:p w:rsidR="00CF3116" w:rsidRPr="00F52D1E" w:rsidRDefault="00CF3116" w:rsidP="00CF3116">
      <w:pPr>
        <w:pStyle w:val="ParaNoNdepar-AltN"/>
        <w:rPr>
          <w:rFonts w:cs="Times New Roman"/>
          <w:lang w:val="fr-CA"/>
        </w:rPr>
      </w:pPr>
      <w:r w:rsidRPr="00F52D1E">
        <w:rPr>
          <w:rFonts w:cs="Times New Roman"/>
          <w:lang w:val="fr-CA"/>
        </w:rPr>
        <w:t xml:space="preserve">En l’espèce, il n’est pas possible de soutenir que le litige concerne </w:t>
      </w:r>
      <w:r w:rsidRPr="00F52D1E">
        <w:rPr>
          <w:rFonts w:cs="Times New Roman"/>
          <w:i/>
          <w:lang w:val="fr-CA"/>
        </w:rPr>
        <w:t>seulement</w:t>
      </w:r>
      <w:r w:rsidRPr="00F52D1E">
        <w:rPr>
          <w:rFonts w:cs="Times New Roman"/>
          <w:lang w:val="fr-CA"/>
        </w:rPr>
        <w:t xml:space="preserve"> des droits réels sur un immeuble situé </w:t>
      </w:r>
      <w:r w:rsidRPr="00F52D1E">
        <w:rPr>
          <w:rFonts w:cs="Times New Roman"/>
          <w:i/>
          <w:lang w:val="fr-CA"/>
        </w:rPr>
        <w:t>au Québec.</w:t>
      </w:r>
      <w:r w:rsidRPr="00F52D1E">
        <w:rPr>
          <w:rFonts w:cs="Times New Roman"/>
          <w:lang w:val="fr-CA"/>
        </w:rPr>
        <w:t xml:space="preserve"> En effet, les Innus revendiquent par voie de jugement déclaratoire un titre ancestral et d’autres droits ancestraux ou issus de traités sur « [l]es parties du Nitassinan affectées par le </w:t>
      </w:r>
      <w:r w:rsidRPr="00F52D1E">
        <w:rPr>
          <w:rFonts w:cs="Times New Roman"/>
          <w:lang w:val="fr-CA"/>
        </w:rPr>
        <w:lastRenderedPageBreak/>
        <w:t>mégaprojet d’IOC », y compris sur celles de ces « parties » qui sont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 Avis de questions constitutionnelles, </w:t>
      </w:r>
      <w:proofErr w:type="gramStart"/>
      <w:r w:rsidRPr="00F52D1E">
        <w:rPr>
          <w:rFonts w:cs="Times New Roman"/>
          <w:lang w:val="fr-CA"/>
        </w:rPr>
        <w:t>d.a.,</w:t>
      </w:r>
      <w:proofErr w:type="gramEnd"/>
      <w:r w:rsidRPr="00F52D1E">
        <w:rPr>
          <w:rFonts w:cs="Times New Roman"/>
          <w:lang w:val="fr-CA"/>
        </w:rPr>
        <w:t xml:space="preserve"> vol. II, p. 113. Or, la reconnaissance de l’existence d’un titre ancestral par voie de jugement déclaratoire est opposable aux gouvernements, et affecte par conséquent nécessairement les droits et pouvoirs de ces gouvernements, y compris ce</w:t>
      </w:r>
      <w:r w:rsidR="009E2F25">
        <w:rPr>
          <w:rFonts w:cs="Times New Roman"/>
          <w:lang w:val="fr-CA"/>
        </w:rPr>
        <w:t>ux du gouvernement provincial :</w:t>
      </w:r>
    </w:p>
    <w:p w:rsidR="00CF3116" w:rsidRPr="00F52D1E" w:rsidRDefault="00CF3116" w:rsidP="00CF3116">
      <w:pPr>
        <w:pStyle w:val="Citation-AltC"/>
        <w:ind w:firstLine="274"/>
        <w:rPr>
          <w:lang w:val="fr-CA"/>
        </w:rPr>
      </w:pPr>
      <w:r w:rsidRPr="00F52D1E">
        <w:rPr>
          <w:lang w:val="fr-CA"/>
        </w:rPr>
        <w:t xml:space="preserve">Tout comme le fait la </w:t>
      </w:r>
      <w:r w:rsidRPr="00F52D1E">
        <w:rPr>
          <w:i/>
          <w:lang w:val="fr-CA"/>
        </w:rPr>
        <w:t>Charte canadienne des droits et libertés</w:t>
      </w:r>
      <w:r w:rsidRPr="00F52D1E">
        <w:rPr>
          <w:lang w:val="fr-CA"/>
        </w:rPr>
        <w:t xml:space="preserve">, la protection des droits ancestraux garantie à l’art. 35 de la </w:t>
      </w:r>
      <w:r w:rsidRPr="00F52D1E">
        <w:rPr>
          <w:i/>
          <w:lang w:val="fr-CA"/>
        </w:rPr>
        <w:t>Loi constitutionnelle de 1982</w:t>
      </w:r>
      <w:r w:rsidRPr="00F52D1E">
        <w:rPr>
          <w:lang w:val="fr-CA"/>
        </w:rPr>
        <w:t xml:space="preserve"> vient limiter l’exercice des pouvoirs législatifs fédéraux et provinciaux. La </w:t>
      </w:r>
      <w:r w:rsidRPr="00F52D1E">
        <w:rPr>
          <w:i/>
          <w:lang w:val="fr-CA"/>
        </w:rPr>
        <w:t>Charte</w:t>
      </w:r>
      <w:r w:rsidRPr="00F52D1E">
        <w:rPr>
          <w:rStyle w:val="decisia-reflex2-icon"/>
          <w:lang w:val="fr-CA"/>
        </w:rPr>
        <w:t xml:space="preserve"> </w:t>
      </w:r>
      <w:r w:rsidRPr="00F52D1E">
        <w:rPr>
          <w:lang w:val="fr-CA"/>
        </w:rPr>
        <w:t xml:space="preserve">constitue la partie I de la </w:t>
      </w:r>
      <w:r w:rsidRPr="00F52D1E">
        <w:rPr>
          <w:i/>
          <w:lang w:val="fr-CA"/>
        </w:rPr>
        <w:t>Loi constitutionnelle de 1982</w:t>
      </w:r>
      <w:r w:rsidRPr="00F52D1E">
        <w:rPr>
          <w:lang w:val="fr-CA"/>
        </w:rPr>
        <w:t xml:space="preserve">, et la protection des droits ancestraux constitue la partie II. Les parties I et II sont apparentées et limitent toutes deux l’exercice des pouvoirs gouvernementaux, qu’ils soient fédéraux ou provinciaux. </w:t>
      </w:r>
      <w:r w:rsidRPr="00F52D1E">
        <w:rPr>
          <w:u w:val="single"/>
          <w:lang w:val="fr-CA"/>
        </w:rPr>
        <w:t xml:space="preserve">Les droits garantis à la partie II, tout comme les droits garantis par la </w:t>
      </w:r>
      <w:r w:rsidRPr="00F52D1E">
        <w:rPr>
          <w:i/>
          <w:u w:val="single"/>
          <w:lang w:val="fr-CA"/>
        </w:rPr>
        <w:t>Charte</w:t>
      </w:r>
      <w:r w:rsidRPr="00F52D1E">
        <w:rPr>
          <w:rStyle w:val="decisia-reflex2-icon"/>
          <w:i/>
          <w:u w:val="single"/>
          <w:lang w:val="fr-CA"/>
        </w:rPr>
        <w:t xml:space="preserve"> </w:t>
      </w:r>
      <w:r w:rsidRPr="00F52D1E">
        <w:rPr>
          <w:u w:val="single"/>
          <w:lang w:val="fr-CA"/>
        </w:rPr>
        <w:t>à la partie I, sont opposables au gouvernement — ils ont pour effet d’interdire certains types de réglementation que les gouvernements pourraient autrement imposer.</w:t>
      </w:r>
      <w:r w:rsidRPr="00F52D1E">
        <w:rPr>
          <w:lang w:val="fr-CA"/>
        </w:rPr>
        <w:t xml:space="preserve"> Ces limites n’ont rien à voir avec la question de savoir si une activité fait partie du contenu essentiel des pouvoirs du gouvernement fédéral. [Nous soulignons; soulignement dans l’original omis.]</w:t>
      </w:r>
    </w:p>
    <w:p w:rsidR="00CF3116" w:rsidRPr="00F52D1E" w:rsidRDefault="00CF3116" w:rsidP="00CF3116">
      <w:pPr>
        <w:pStyle w:val="Citation-AltC"/>
        <w:rPr>
          <w:lang w:val="fr-CA"/>
        </w:rPr>
      </w:pPr>
    </w:p>
    <w:p w:rsidR="00CF3116" w:rsidRPr="00F52D1E" w:rsidRDefault="00CF3116" w:rsidP="005A55C1">
      <w:pPr>
        <w:pStyle w:val="Citation-AltC"/>
        <w:ind w:left="0"/>
        <w:rPr>
          <w:lang w:val="fr-CA"/>
        </w:rPr>
      </w:pPr>
      <w:r w:rsidRPr="00F52D1E">
        <w:rPr>
          <w:lang w:val="fr-CA"/>
        </w:rPr>
        <w:t>(</w:t>
      </w:r>
      <w:r w:rsidRPr="00F52D1E">
        <w:rPr>
          <w:i/>
          <w:lang w:val="fr-CA"/>
        </w:rPr>
        <w:t>Nation Tsilhqot’in c. Colombie</w:t>
      </w:r>
      <w:r w:rsidRPr="00F52D1E">
        <w:rPr>
          <w:i/>
          <w:lang w:val="fr-CA"/>
        </w:rPr>
        <w:noBreakHyphen/>
        <w:t>Britannique</w:t>
      </w:r>
      <w:r w:rsidRPr="00F52D1E">
        <w:rPr>
          <w:lang w:val="fr-CA"/>
        </w:rPr>
        <w:t>, 2014 CSC 44, [2014] 2 R.C.S. 257, par. 142)</w:t>
      </w:r>
    </w:p>
    <w:p w:rsidR="00CF3116" w:rsidRPr="00F52D1E" w:rsidRDefault="00CF3116" w:rsidP="00CF3116">
      <w:pPr>
        <w:pStyle w:val="ParaNoNdepar-AltN"/>
        <w:tabs>
          <w:tab w:val="clear" w:pos="1152"/>
          <w:tab w:val="left" w:pos="1166"/>
        </w:tabs>
        <w:rPr>
          <w:rFonts w:cs="Times New Roman"/>
          <w:lang w:val="fr-CA"/>
        </w:rPr>
      </w:pPr>
      <w:r w:rsidRPr="00F52D1E">
        <w:rPr>
          <w:rFonts w:cs="Times New Roman"/>
          <w:lang w:val="fr-CA"/>
        </w:rPr>
        <w:t>En outre, le titre ancestral « grève le titre sous</w:t>
      </w:r>
      <w:r w:rsidRPr="00F52D1E">
        <w:rPr>
          <w:rFonts w:cs="Times New Roman"/>
          <w:lang w:val="fr-CA"/>
        </w:rPr>
        <w:noBreakHyphen/>
        <w:t xml:space="preserve">jacent de la Couronne » : </w:t>
      </w:r>
      <w:r w:rsidRPr="00F52D1E">
        <w:rPr>
          <w:rFonts w:cs="Times New Roman"/>
          <w:i/>
          <w:lang w:val="fr-CA"/>
        </w:rPr>
        <w:t>Delgamuukw c. Colombie</w:t>
      </w:r>
      <w:r w:rsidRPr="00F52D1E">
        <w:rPr>
          <w:rFonts w:cs="Times New Roman"/>
          <w:i/>
          <w:lang w:val="fr-CA"/>
        </w:rPr>
        <w:noBreakHyphen/>
        <w:t>Britannique</w:t>
      </w:r>
      <w:r w:rsidRPr="00F52D1E">
        <w:rPr>
          <w:rFonts w:cs="Times New Roman"/>
          <w:lang w:val="fr-CA"/>
        </w:rPr>
        <w:t xml:space="preserve">, [1997] 3 R.C.S. 1010, par. 145. L’article 109 de la </w:t>
      </w:r>
      <w:r w:rsidRPr="00F52D1E">
        <w:rPr>
          <w:rFonts w:cs="Times New Roman"/>
          <w:i/>
          <w:lang w:val="fr-CA"/>
        </w:rPr>
        <w:t>Loi constitutionnelle de 1867</w:t>
      </w:r>
      <w:r w:rsidRPr="00F52D1E">
        <w:rPr>
          <w:rFonts w:cs="Times New Roman"/>
          <w:lang w:val="fr-CA"/>
        </w:rPr>
        <w:t xml:space="preserve"> attribue ce titre sous</w:t>
      </w:r>
      <w:r w:rsidRPr="00F52D1E">
        <w:rPr>
          <w:rFonts w:cs="Times New Roman"/>
          <w:lang w:val="fr-CA"/>
        </w:rPr>
        <w:noBreakHyphen/>
        <w:t xml:space="preserve">jacent aux couronnes provinciales, et limite ce droit de propriété provincial en le subordonnant à « tous intérêts autres que ceux que peut [. . .] avoir la province ». Le titre ancestral constitue un tel intérêt : voir également </w:t>
      </w:r>
      <w:proofErr w:type="gramStart"/>
      <w:r w:rsidRPr="00F52D1E">
        <w:rPr>
          <w:rFonts w:cs="Times New Roman"/>
          <w:lang w:val="fr-CA"/>
        </w:rPr>
        <w:t>ann.,</w:t>
      </w:r>
      <w:proofErr w:type="gramEnd"/>
      <w:r w:rsidRPr="00F52D1E">
        <w:rPr>
          <w:rFonts w:cs="Times New Roman"/>
          <w:lang w:val="fr-CA"/>
        </w:rPr>
        <w:t> art. 37 de l’</w:t>
      </w:r>
      <w:r w:rsidRPr="00F52D1E">
        <w:rPr>
          <w:rFonts w:cs="Times New Roman"/>
          <w:i/>
          <w:lang w:val="fr-CA"/>
        </w:rPr>
        <w:t>Acte de l’Amérique du Nord britannique, 1949</w:t>
      </w:r>
      <w:r w:rsidRPr="00F52D1E">
        <w:rPr>
          <w:rFonts w:cs="Times New Roman"/>
          <w:lang w:val="fr-CA"/>
        </w:rPr>
        <w:t xml:space="preserve"> (R.</w:t>
      </w:r>
      <w:r w:rsidRPr="00F52D1E">
        <w:rPr>
          <w:rFonts w:cs="Times New Roman"/>
          <w:lang w:val="fr-CA"/>
        </w:rPr>
        <w:noBreakHyphen/>
        <w:t xml:space="preserve">U), 12, 13 &amp;14 Geo. 6, c. 22 (reproduit sous l’intitulé </w:t>
      </w:r>
      <w:r w:rsidRPr="00F52D1E">
        <w:rPr>
          <w:rFonts w:cs="Times New Roman"/>
          <w:i/>
          <w:lang w:val="fr-CA"/>
        </w:rPr>
        <w:t>Loi sur Terre</w:t>
      </w:r>
      <w:r w:rsidRPr="00F52D1E">
        <w:rPr>
          <w:rFonts w:cs="Times New Roman"/>
          <w:i/>
          <w:lang w:val="fr-CA"/>
        </w:rPr>
        <w:noBreakHyphen/>
        <w:t>Neuve</w:t>
      </w:r>
      <w:r w:rsidRPr="00F52D1E">
        <w:rPr>
          <w:rFonts w:cs="Times New Roman"/>
          <w:lang w:val="fr-CA"/>
        </w:rPr>
        <w:t xml:space="preserve"> dans L.R.C. 1985, app. II, n</w:t>
      </w:r>
      <w:r w:rsidRPr="00F52D1E">
        <w:rPr>
          <w:rFonts w:cs="Times New Roman"/>
          <w:vertAlign w:val="superscript"/>
          <w:lang w:val="fr-CA"/>
        </w:rPr>
        <w:t>o</w:t>
      </w:r>
      <w:r w:rsidR="00405624">
        <w:rPr>
          <w:rFonts w:cs="Times New Roman"/>
          <w:lang w:val="fr-CA"/>
        </w:rPr>
        <w:t xml:space="preserve"> 32);</w:t>
      </w:r>
      <w:r w:rsidRPr="00F52D1E">
        <w:rPr>
          <w:rFonts w:cs="Times New Roman"/>
          <w:lang w:val="fr-CA"/>
        </w:rPr>
        <w:t xml:space="preserve"> </w:t>
      </w:r>
      <w:r w:rsidRPr="00F52D1E">
        <w:rPr>
          <w:rFonts w:cs="Times New Roman"/>
          <w:i/>
          <w:lang w:val="fr-CA"/>
        </w:rPr>
        <w:t>Guerin c. La Reine</w:t>
      </w:r>
      <w:r w:rsidRPr="00F52D1E">
        <w:rPr>
          <w:rFonts w:cs="Times New Roman"/>
          <w:lang w:val="fr-CA"/>
        </w:rPr>
        <w:t xml:space="preserve">, [1984] 2 R.C.S. </w:t>
      </w:r>
      <w:r w:rsidRPr="00F52D1E">
        <w:rPr>
          <w:rFonts w:cs="Times New Roman"/>
          <w:lang w:val="fr-CA"/>
        </w:rPr>
        <w:lastRenderedPageBreak/>
        <w:t xml:space="preserve">335, p. 380; </w:t>
      </w:r>
      <w:r w:rsidRPr="00F52D1E">
        <w:rPr>
          <w:rFonts w:cs="Times New Roman"/>
          <w:i/>
          <w:lang w:val="fr-CA"/>
        </w:rPr>
        <w:t>Delgamuukw</w:t>
      </w:r>
      <w:r w:rsidRPr="00F52D1E">
        <w:rPr>
          <w:rFonts w:cs="Times New Roman"/>
          <w:lang w:val="fr-CA"/>
        </w:rPr>
        <w:t xml:space="preserve">, par. 175; </w:t>
      </w:r>
      <w:r w:rsidRPr="00F52D1E">
        <w:rPr>
          <w:rFonts w:cs="Times New Roman"/>
          <w:i/>
          <w:lang w:val="fr-CA"/>
        </w:rPr>
        <w:t>St. Catherine’s Milling and Lumber Company c. The Queen</w:t>
      </w:r>
      <w:r w:rsidRPr="00F52D1E">
        <w:rPr>
          <w:rFonts w:cs="Times New Roman"/>
          <w:lang w:val="fr-CA"/>
        </w:rPr>
        <w:t xml:space="preserve"> (1888), 14 App. Cas. 46 (C.P.); </w:t>
      </w:r>
      <w:r w:rsidRPr="00F52D1E">
        <w:rPr>
          <w:rFonts w:cs="Times New Roman"/>
          <w:i/>
          <w:lang w:val="fr-CA"/>
        </w:rPr>
        <w:t>Nation haïda c. Colombie</w:t>
      </w:r>
      <w:r w:rsidRPr="00F52D1E">
        <w:rPr>
          <w:rFonts w:cs="Times New Roman"/>
          <w:i/>
          <w:lang w:val="fr-CA"/>
        </w:rPr>
        <w:noBreakHyphen/>
        <w:t>Britanique (Ministre des Forêts)</w:t>
      </w:r>
      <w:r w:rsidRPr="00F52D1E">
        <w:rPr>
          <w:rFonts w:cs="Times New Roman"/>
          <w:lang w:val="fr-CA"/>
        </w:rPr>
        <w:t>, 2004 CSC 73, [2004] 3 R.C.S. 511, par. 59 (« </w:t>
      </w:r>
      <w:r w:rsidRPr="00F52D1E">
        <w:rPr>
          <w:rFonts w:cs="Times New Roman"/>
          <w:i/>
          <w:lang w:val="fr-CA"/>
        </w:rPr>
        <w:t>Nation haïda</w:t>
      </w:r>
      <w:r w:rsidRPr="00F52D1E">
        <w:rPr>
          <w:rFonts w:cs="Times New Roman"/>
          <w:lang w:val="fr-CA"/>
        </w:rPr>
        <w:t> »). Le contenu du titre sous</w:t>
      </w:r>
      <w:r w:rsidRPr="00F52D1E">
        <w:rPr>
          <w:rFonts w:cs="Times New Roman"/>
          <w:lang w:val="fr-CA"/>
        </w:rPr>
        <w:noBreakHyphen/>
        <w:t>jacent de la couronne provinciale est donc « ce qui reste après la soustraction du titre ancestral » (</w:t>
      </w:r>
      <w:r w:rsidRPr="00F52D1E">
        <w:rPr>
          <w:rFonts w:cs="Times New Roman"/>
          <w:i/>
          <w:lang w:val="fr-CA"/>
        </w:rPr>
        <w:t>Nation Tsilhqot’in</w:t>
      </w:r>
      <w:r w:rsidRPr="00F52D1E">
        <w:rPr>
          <w:rFonts w:cs="Times New Roman"/>
          <w:lang w:val="fr-CA"/>
        </w:rPr>
        <w:t xml:space="preserve">, par. 70) et peut être décrit comme « une obligation fiduciaire de la Couronne envers les Autochtones à l’égard des terres ancestrales et le droit de porter atteinte au titre ancestral si le gouvernement peut démontrer que l’atteinte est justifiée dans l’intérêt général du public en vertu de l’art. 35 de la </w:t>
      </w:r>
      <w:r w:rsidRPr="00F52D1E">
        <w:rPr>
          <w:rFonts w:cs="Times New Roman"/>
          <w:i/>
          <w:lang w:val="fr-CA"/>
        </w:rPr>
        <w:t>Loi constitutionnelle de 1982</w:t>
      </w:r>
      <w:r w:rsidR="009E2F25">
        <w:rPr>
          <w:rFonts w:cs="Times New Roman"/>
          <w:lang w:val="fr-CA"/>
        </w:rPr>
        <w:t> » (par. 71).</w:t>
      </w:r>
    </w:p>
    <w:p w:rsidR="00CF3116" w:rsidRPr="00F52D1E" w:rsidRDefault="00CF3116" w:rsidP="00CF3116">
      <w:pPr>
        <w:pStyle w:val="ParaNoNdepar-AltN"/>
        <w:rPr>
          <w:rFonts w:cs="Times New Roman"/>
          <w:lang w:val="fr-CA"/>
        </w:rPr>
      </w:pPr>
      <w:r w:rsidRPr="00F52D1E">
        <w:rPr>
          <w:rFonts w:cs="Times New Roman"/>
          <w:lang w:val="fr-CA"/>
        </w:rPr>
        <w:t>De plus, l’avis de questions constitutionnelles</w:t>
      </w:r>
      <w:r w:rsidRPr="00F52D1E">
        <w:rPr>
          <w:rFonts w:cs="Times New Roman"/>
          <w:i/>
          <w:lang w:val="fr-CA"/>
        </w:rPr>
        <w:t xml:space="preserve"> </w:t>
      </w:r>
      <w:r w:rsidRPr="00F52D1E">
        <w:rPr>
          <w:rFonts w:cs="Times New Roman"/>
          <w:lang w:val="fr-CA"/>
        </w:rPr>
        <w:t>transmis par les Innus aux procureurs généraux du Canada, du Québec et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comprend une liste de 27 lois ou règlements de la province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dont la validité ou l’applicabilité constitutionnelle est contestée par les Innus : </w:t>
      </w:r>
      <w:proofErr w:type="gramStart"/>
      <w:r w:rsidRPr="00F52D1E">
        <w:rPr>
          <w:rFonts w:cs="Times New Roman"/>
          <w:lang w:val="fr-CA"/>
        </w:rPr>
        <w:t>d.a.,</w:t>
      </w:r>
      <w:proofErr w:type="gramEnd"/>
      <w:r w:rsidRPr="00F52D1E">
        <w:rPr>
          <w:rFonts w:cs="Times New Roman"/>
          <w:lang w:val="fr-CA"/>
        </w:rPr>
        <w:t xml:space="preserve"> vol. II, p. 115</w:t>
      </w:r>
      <w:r w:rsidRPr="00F52D1E">
        <w:rPr>
          <w:rFonts w:cs="Times New Roman"/>
          <w:lang w:val="fr-CA"/>
        </w:rPr>
        <w:noBreakHyphen/>
        <w:t>116. Il y est aussi expressément</w:t>
      </w:r>
      <w:r w:rsidR="00E51CCA">
        <w:rPr>
          <w:rFonts w:cs="Times New Roman"/>
          <w:lang w:val="fr-CA"/>
        </w:rPr>
        <w:t xml:space="preserve"> affirmé que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aurait violé ses obligations constitutionnelles et fiduciaires, ainsi que ses obligations de consultation et d’accommode</w:t>
      </w:r>
      <w:r w:rsidR="009E2F25">
        <w:rPr>
          <w:rFonts w:cs="Times New Roman"/>
          <w:lang w:val="fr-CA"/>
        </w:rPr>
        <w:t>ment envers les Innus : p. 125.</w:t>
      </w:r>
    </w:p>
    <w:p w:rsidR="00CF3116" w:rsidRPr="00F52D1E" w:rsidRDefault="00CF3116" w:rsidP="00CF3116">
      <w:pPr>
        <w:pStyle w:val="ParaNoNdepar-AltN"/>
        <w:rPr>
          <w:rFonts w:cs="Times New Roman"/>
          <w:lang w:val="fr-CA"/>
        </w:rPr>
      </w:pPr>
      <w:r w:rsidRPr="00F52D1E">
        <w:rPr>
          <w:rFonts w:cs="Times New Roman"/>
          <w:lang w:val="fr-CA"/>
        </w:rPr>
        <w:t xml:space="preserve">En somme, il ne s’agit pas d’un cas où la compétence de la Cour supérieure du Québec sur l’ensemble du litige s’impose comme une évidence du fait que </w:t>
      </w:r>
      <w:r w:rsidRPr="00F52D1E">
        <w:rPr>
          <w:rFonts w:cs="Times New Roman"/>
          <w:i/>
          <w:lang w:val="fr-CA"/>
        </w:rPr>
        <w:t>seuls</w:t>
      </w:r>
      <w:r w:rsidRPr="00F52D1E">
        <w:rPr>
          <w:rFonts w:cs="Times New Roman"/>
          <w:lang w:val="fr-CA"/>
        </w:rPr>
        <w:t xml:space="preserve"> des droits situés </w:t>
      </w:r>
      <w:r w:rsidRPr="00F52D1E">
        <w:rPr>
          <w:rFonts w:cs="Times New Roman"/>
          <w:i/>
          <w:lang w:val="fr-CA"/>
        </w:rPr>
        <w:t>au Québec</w:t>
      </w:r>
      <w:r w:rsidRPr="00F52D1E">
        <w:rPr>
          <w:rFonts w:cs="Times New Roman"/>
          <w:lang w:val="fr-CA"/>
        </w:rPr>
        <w:t xml:space="preserve"> seraient en jeu. Au contraire, le dossier présente un élément évident d’extranéité. Il ne s’agit pas non plus d’un cas où la Cour supérieure du Québec serait appelée à exercer sa compétence inhérente afin de statuer sur la constitutionnalité des lois et règlements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qui sont contestés par les Innus alors que sa compétence territoriale sur l’ensemble du litige serait définitivement confirmée. </w:t>
      </w:r>
      <w:r w:rsidRPr="00F52D1E">
        <w:rPr>
          <w:rFonts w:cs="Times New Roman"/>
          <w:lang w:val="fr-CA"/>
        </w:rPr>
        <w:lastRenderedPageBreak/>
        <w:t xml:space="preserve">À cet égard, il n’est satisfait à aucune des conditions de l’arrêt </w:t>
      </w:r>
      <w:r w:rsidRPr="00F52D1E">
        <w:rPr>
          <w:rFonts w:cs="Times New Roman"/>
          <w:i/>
          <w:lang w:val="fr-CA"/>
        </w:rPr>
        <w:t>Hunt</w:t>
      </w:r>
      <w:r w:rsidRPr="00F52D1E">
        <w:rPr>
          <w:rFonts w:cs="Times New Roman"/>
          <w:lang w:val="fr-CA"/>
        </w:rPr>
        <w:t xml:space="preserve"> en l’espèce : </w:t>
      </w:r>
      <w:r w:rsidR="00405624">
        <w:rPr>
          <w:rFonts w:cs="Times New Roman"/>
          <w:lang w:val="fr-CA"/>
        </w:rPr>
        <w:t>(</w:t>
      </w:r>
      <w:r w:rsidRPr="00F52D1E">
        <w:rPr>
          <w:rFonts w:cs="Times New Roman"/>
          <w:lang w:val="fr-CA"/>
        </w:rPr>
        <w:t>1) on ne peut pas dire que la constitutionnalité de ces lois et règlements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se pose seulement accessoirement dans le cours normal d’un litige; </w:t>
      </w:r>
      <w:r w:rsidR="00405624">
        <w:rPr>
          <w:rFonts w:cs="Times New Roman"/>
          <w:lang w:val="fr-CA"/>
        </w:rPr>
        <w:t>(</w:t>
      </w:r>
      <w:r w:rsidRPr="00F52D1E">
        <w:rPr>
          <w:rFonts w:cs="Times New Roman"/>
          <w:lang w:val="fr-CA"/>
        </w:rPr>
        <w:t>2) ces lois et règlements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n’affectent aucun intérêt réel au Québec qui justifierait la compétence de la Cour supérieure du Québec; et </w:t>
      </w:r>
      <w:r w:rsidR="00405624">
        <w:rPr>
          <w:rFonts w:cs="Times New Roman"/>
          <w:lang w:val="fr-CA"/>
        </w:rPr>
        <w:t>(</w:t>
      </w:r>
      <w:r w:rsidRPr="00F52D1E">
        <w:rPr>
          <w:rFonts w:cs="Times New Roman"/>
          <w:lang w:val="fr-CA"/>
        </w:rPr>
        <w:t>3) les Innus ne prétendent pas que la constitutionnalité de ces lois et règlements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n’est pas raisonnablement susceptible d’être autrement contestée (</w:t>
      </w:r>
      <w:r w:rsidRPr="00F52D1E">
        <w:rPr>
          <w:rFonts w:cs="Times New Roman"/>
          <w:i/>
          <w:lang w:val="fr-CA"/>
        </w:rPr>
        <w:t>Hunt</w:t>
      </w:r>
      <w:r w:rsidRPr="00F52D1E">
        <w:rPr>
          <w:rFonts w:cs="Times New Roman"/>
          <w:lang w:val="fr-CA"/>
        </w:rPr>
        <w:t>, p. 309</w:t>
      </w:r>
      <w:r w:rsidRPr="00F52D1E">
        <w:rPr>
          <w:rFonts w:cs="Times New Roman"/>
          <w:lang w:val="fr-CA"/>
        </w:rPr>
        <w:noBreakHyphen/>
        <w:t xml:space="preserve">310, 313 et 315; </w:t>
      </w:r>
      <w:r w:rsidRPr="00F52D1E">
        <w:rPr>
          <w:rFonts w:cs="Times New Roman"/>
          <w:i/>
          <w:lang w:val="fr-CA"/>
        </w:rPr>
        <w:t>Renvoi relatif à la réglementation pancanadienne des valeurs mobilières</w:t>
      </w:r>
      <w:r w:rsidRPr="00F52D1E">
        <w:rPr>
          <w:rFonts w:cs="Times New Roman"/>
          <w:lang w:val="fr-CA"/>
        </w:rPr>
        <w:t>, 2017 QCCA 756, par. 18 (CanLII); Walker, p. 2</w:t>
      </w:r>
      <w:r w:rsidRPr="00F52D1E">
        <w:rPr>
          <w:rFonts w:cs="Times New Roman"/>
          <w:lang w:val="fr-CA"/>
        </w:rPr>
        <w:noBreakHyphen/>
        <w:t>4). Pour ces raisons, la Cour supérieure du Québec n’est compétente sur l’ensemble du litige, y compris sur la question de l’existence d’un titre ancestral et d’autres droits ancestraux ou issus de traités sur des terres qui sont situées à l’extérieur du Québec, que si les règles du droit international privé lui confèrent une telle compétence, et seulement si ces règles résistent à un examen constitutionnel.</w:t>
      </w:r>
    </w:p>
    <w:p w:rsidR="00CF3116" w:rsidRPr="00F52D1E" w:rsidRDefault="00CF3116" w:rsidP="00CF3116">
      <w:pPr>
        <w:pStyle w:val="Title2LevelTitre2Niveau"/>
        <w:rPr>
          <w:rFonts w:cs="Times New Roman"/>
          <w:lang w:val="fr-CA"/>
        </w:rPr>
      </w:pPr>
      <w:bookmarkStart w:id="69" w:name="_Toc11055985"/>
      <w:bookmarkStart w:id="70" w:name="_Toc11055987"/>
      <w:bookmarkStart w:id="71" w:name="_Toc11055988"/>
      <w:bookmarkStart w:id="72" w:name="_Toc11660752"/>
      <w:bookmarkStart w:id="73" w:name="_Toc29195614"/>
      <w:bookmarkStart w:id="74" w:name="_Toc31207768"/>
      <w:bookmarkStart w:id="75" w:name="_Toc32309430"/>
      <w:bookmarkStart w:id="76" w:name="_Toc32852585"/>
      <w:bookmarkStart w:id="77" w:name="_Toc33007299"/>
      <w:bookmarkEnd w:id="69"/>
      <w:bookmarkEnd w:id="70"/>
      <w:bookmarkEnd w:id="71"/>
      <w:r w:rsidRPr="00F52D1E">
        <w:rPr>
          <w:rFonts w:cs="Times New Roman"/>
          <w:lang w:val="fr-CA"/>
        </w:rPr>
        <w:t>Compétence des autorités québécoises</w:t>
      </w:r>
      <w:bookmarkEnd w:id="72"/>
      <w:bookmarkEnd w:id="73"/>
      <w:bookmarkEnd w:id="74"/>
      <w:bookmarkEnd w:id="75"/>
      <w:bookmarkEnd w:id="76"/>
      <w:bookmarkEnd w:id="77"/>
    </w:p>
    <w:p w:rsidR="00CF3116" w:rsidRPr="00F52D1E" w:rsidRDefault="00CF3116" w:rsidP="00CF3116">
      <w:pPr>
        <w:pStyle w:val="ParaNoNdepar-AltN"/>
        <w:rPr>
          <w:rFonts w:cs="Times New Roman"/>
          <w:lang w:val="fr-CA"/>
        </w:rPr>
      </w:pPr>
      <w:r w:rsidRPr="00F52D1E">
        <w:rPr>
          <w:rFonts w:cs="Times New Roman"/>
          <w:lang w:val="fr-CA"/>
        </w:rPr>
        <w:t xml:space="preserve">Le critère général de compétence en droit international privé est le domicile du défendeur (art. 3134 </w:t>
      </w:r>
      <w:r w:rsidRPr="00F52D1E">
        <w:rPr>
          <w:rFonts w:cs="Times New Roman"/>
          <w:i/>
          <w:lang w:val="fr-CA"/>
        </w:rPr>
        <w:t>C.c.Q.</w:t>
      </w:r>
      <w:r w:rsidRPr="00F52D1E">
        <w:rPr>
          <w:rFonts w:cs="Times New Roman"/>
          <w:lang w:val="fr-CA"/>
        </w:rPr>
        <w:t xml:space="preserve">). Or, comme le prévoit expressément cette disposition, la règle générale qu’elle énonce a un caractère subsidiaire : elle s’applique seulement « [e]n l’absence de disposition particulière ». Les « dispositions particulières » prévues par le </w:t>
      </w:r>
      <w:r w:rsidRPr="00F52D1E">
        <w:rPr>
          <w:rFonts w:cs="Times New Roman"/>
          <w:i/>
          <w:lang w:val="fr-CA"/>
        </w:rPr>
        <w:t>Code civil</w:t>
      </w:r>
      <w:r w:rsidRPr="00F52D1E">
        <w:rPr>
          <w:rFonts w:cs="Times New Roman"/>
          <w:lang w:val="fr-CA"/>
        </w:rPr>
        <w:t xml:space="preserve"> et qui écartent cette règle subsidiaire régissent la compétence internationale des autorités québécoises selon qu’il est question d’une action personnelle à caractère extrapatrimonial et familial (art. 3141 à 3147 </w:t>
      </w:r>
      <w:r w:rsidRPr="00F52D1E">
        <w:rPr>
          <w:rFonts w:cs="Times New Roman"/>
          <w:i/>
          <w:lang w:val="fr-CA"/>
        </w:rPr>
        <w:t>C.c.Q.</w:t>
      </w:r>
      <w:r w:rsidRPr="00F52D1E">
        <w:rPr>
          <w:rFonts w:cs="Times New Roman"/>
          <w:lang w:val="fr-CA"/>
        </w:rPr>
        <w:t xml:space="preserve">), d’une action personnelle à caractère patrimonial (art. 3148 à 3151 </w:t>
      </w:r>
      <w:r w:rsidRPr="00F52D1E">
        <w:rPr>
          <w:rFonts w:cs="Times New Roman"/>
          <w:i/>
          <w:lang w:val="fr-CA"/>
        </w:rPr>
        <w:t>C.c.Q.</w:t>
      </w:r>
      <w:r w:rsidRPr="00F52D1E">
        <w:rPr>
          <w:rFonts w:cs="Times New Roman"/>
          <w:lang w:val="fr-CA"/>
        </w:rPr>
        <w:t xml:space="preserve">) ou d’une action </w:t>
      </w:r>
      <w:r w:rsidRPr="00F52D1E">
        <w:rPr>
          <w:rFonts w:cs="Times New Roman"/>
          <w:lang w:val="fr-CA"/>
        </w:rPr>
        <w:lastRenderedPageBreak/>
        <w:t xml:space="preserve">réelle ou mixte (art. 3152 à 3154 </w:t>
      </w:r>
      <w:r w:rsidRPr="00F52D1E">
        <w:rPr>
          <w:rFonts w:cs="Times New Roman"/>
          <w:i/>
          <w:lang w:val="fr-CA"/>
        </w:rPr>
        <w:t>C.c.Q.</w:t>
      </w:r>
      <w:r w:rsidRPr="00F52D1E">
        <w:rPr>
          <w:rFonts w:cs="Times New Roman"/>
          <w:lang w:val="fr-CA"/>
        </w:rPr>
        <w:t>). Ainsi, pour déterminer la compétence internationale des autorités québécoises en l’espèce, il nous incombe de qualifier l’action des Innus. S’agit</w:t>
      </w:r>
      <w:r w:rsidRPr="00F52D1E">
        <w:rPr>
          <w:rFonts w:cs="Times New Roman"/>
          <w:lang w:val="fr-CA"/>
        </w:rPr>
        <w:noBreakHyphen/>
        <w:t xml:space="preserve">il d’une </w:t>
      </w:r>
      <w:r w:rsidRPr="00F52D1E">
        <w:rPr>
          <w:rFonts w:cs="Times New Roman"/>
          <w:i/>
          <w:lang w:val="fr-CA"/>
        </w:rPr>
        <w:t>action personnelle à caractère extrapatrimonial et familial</w:t>
      </w:r>
      <w:r w:rsidRPr="00F52D1E">
        <w:rPr>
          <w:rFonts w:cs="Times New Roman"/>
          <w:lang w:val="fr-CA"/>
        </w:rPr>
        <w:t xml:space="preserve">, d’une </w:t>
      </w:r>
      <w:r w:rsidRPr="00F52D1E">
        <w:rPr>
          <w:rFonts w:cs="Times New Roman"/>
          <w:i/>
          <w:lang w:val="fr-CA"/>
        </w:rPr>
        <w:t>action personnelle à caractère patrimonial</w:t>
      </w:r>
      <w:r w:rsidRPr="00F52D1E">
        <w:rPr>
          <w:rFonts w:cs="Times New Roman"/>
          <w:lang w:val="fr-CA"/>
        </w:rPr>
        <w:t xml:space="preserve"> ou encore d’une </w:t>
      </w:r>
      <w:r w:rsidRPr="00F52D1E">
        <w:rPr>
          <w:rFonts w:cs="Times New Roman"/>
          <w:i/>
          <w:lang w:val="fr-CA"/>
        </w:rPr>
        <w:t>action réelle</w:t>
      </w:r>
      <w:r w:rsidRPr="00F52D1E">
        <w:rPr>
          <w:rFonts w:cs="Times New Roman"/>
          <w:lang w:val="fr-CA"/>
        </w:rPr>
        <w:t xml:space="preserve"> ou </w:t>
      </w:r>
      <w:r w:rsidRPr="00F52D1E">
        <w:rPr>
          <w:rFonts w:cs="Times New Roman"/>
          <w:i/>
          <w:lang w:val="fr-CA"/>
        </w:rPr>
        <w:t>mixte</w:t>
      </w:r>
      <w:r w:rsidRPr="00F52D1E">
        <w:rPr>
          <w:rFonts w:cs="Times New Roman"/>
          <w:lang w:val="fr-CA"/>
        </w:rPr>
        <w:t>?</w:t>
      </w:r>
    </w:p>
    <w:p w:rsidR="00CF3116" w:rsidRPr="00F52D1E" w:rsidRDefault="00CF3116" w:rsidP="00CF3116">
      <w:pPr>
        <w:pStyle w:val="Title3LevelTitre3Niveau"/>
        <w:tabs>
          <w:tab w:val="clear" w:pos="1152"/>
        </w:tabs>
        <w:ind w:left="1530"/>
        <w:rPr>
          <w:rFonts w:cs="Times New Roman"/>
          <w:lang w:val="fr-CA"/>
        </w:rPr>
      </w:pPr>
      <w:bookmarkStart w:id="78" w:name="_Toc11660753"/>
      <w:bookmarkStart w:id="79" w:name="_Toc29195615"/>
      <w:bookmarkStart w:id="80" w:name="_Toc31207769"/>
      <w:bookmarkStart w:id="81" w:name="_Toc32309431"/>
      <w:bookmarkStart w:id="82" w:name="_Toc32852586"/>
      <w:bookmarkStart w:id="83" w:name="_Toc33007300"/>
      <w:r w:rsidRPr="00F52D1E">
        <w:rPr>
          <w:rFonts w:cs="Times New Roman"/>
          <w:lang w:val="fr-CA"/>
        </w:rPr>
        <w:t>Qualification de l’action des Innus</w:t>
      </w:r>
      <w:bookmarkEnd w:id="78"/>
      <w:bookmarkEnd w:id="79"/>
      <w:bookmarkEnd w:id="80"/>
      <w:bookmarkEnd w:id="81"/>
      <w:bookmarkEnd w:id="82"/>
      <w:bookmarkEnd w:id="83"/>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Notions d’« action personnelle », d’« action réelle » et d’« action mixte »</w:t>
      </w:r>
    </w:p>
    <w:p w:rsidR="00CF3116" w:rsidRPr="00F52D1E" w:rsidRDefault="00CF3116" w:rsidP="00CF3116">
      <w:pPr>
        <w:pStyle w:val="ParaNoNdepar-AltN"/>
        <w:rPr>
          <w:rFonts w:cs="Times New Roman"/>
          <w:lang w:val="fr-CA"/>
        </w:rPr>
      </w:pPr>
      <w:r w:rsidRPr="00F52D1E">
        <w:rPr>
          <w:rFonts w:cs="Times New Roman"/>
          <w:lang w:val="fr-CA"/>
        </w:rPr>
        <w:t xml:space="preserve">L’interprétation du droit international privé doit être effectuée en fonction de la </w:t>
      </w:r>
      <w:r w:rsidRPr="00F52D1E">
        <w:rPr>
          <w:rFonts w:cs="Times New Roman"/>
          <w:i/>
          <w:lang w:val="fr-CA"/>
        </w:rPr>
        <w:t xml:space="preserve">lex fori </w:t>
      </w:r>
      <w:r w:rsidRPr="00F52D1E">
        <w:rPr>
          <w:rFonts w:cs="Times New Roman"/>
          <w:lang w:val="fr-CA"/>
        </w:rPr>
        <w:t xml:space="preserve">puisqu’il faut « favorise[r] l’application de principe des qualifications du droit civil interne en droit international privé » : C. Emanuelli, </w:t>
      </w:r>
      <w:r w:rsidRPr="00F52D1E">
        <w:rPr>
          <w:rFonts w:cs="Times New Roman"/>
          <w:i/>
          <w:lang w:val="fr-CA"/>
        </w:rPr>
        <w:t>Droit international privé québécois</w:t>
      </w:r>
      <w:r w:rsidRPr="00F52D1E">
        <w:rPr>
          <w:rFonts w:cs="Times New Roman"/>
          <w:lang w:val="fr-CA"/>
        </w:rPr>
        <w:t xml:space="preserve"> (3</w:t>
      </w:r>
      <w:r w:rsidRPr="00F52D1E">
        <w:rPr>
          <w:rFonts w:cs="Times New Roman"/>
          <w:vertAlign w:val="superscript"/>
          <w:lang w:val="fr-CA"/>
        </w:rPr>
        <w:t>e</w:t>
      </w:r>
      <w:r w:rsidRPr="00F52D1E">
        <w:rPr>
          <w:rFonts w:cs="Times New Roman"/>
          <w:lang w:val="fr-CA"/>
        </w:rPr>
        <w:t xml:space="preserve"> éd. 2011), n° 412; art. 3078 al. 1 </w:t>
      </w:r>
      <w:r w:rsidRPr="00F52D1E">
        <w:rPr>
          <w:rFonts w:cs="Times New Roman"/>
          <w:i/>
          <w:lang w:val="fr-CA"/>
        </w:rPr>
        <w:t>C.c.Q.</w:t>
      </w:r>
      <w:r w:rsidRPr="00F52D1E">
        <w:rPr>
          <w:rFonts w:cs="Times New Roman"/>
          <w:lang w:val="fr-CA"/>
        </w:rPr>
        <w:t xml:space="preserve">; </w:t>
      </w:r>
      <w:r w:rsidRPr="00F52D1E">
        <w:rPr>
          <w:rFonts w:cs="Times New Roman"/>
          <w:i/>
          <w:lang w:val="fr-CA"/>
        </w:rPr>
        <w:t>Gauthier c. Bergeron</w:t>
      </w:r>
      <w:r w:rsidRPr="00F52D1E">
        <w:rPr>
          <w:rFonts w:cs="Times New Roman"/>
          <w:lang w:val="fr-CA"/>
        </w:rPr>
        <w:t xml:space="preserve">, [1973] C.A. 77, p. 79; voir aussi G. Goldstein et E. Groffier, </w:t>
      </w:r>
      <w:r w:rsidRPr="00F52D1E">
        <w:rPr>
          <w:rFonts w:cs="Times New Roman"/>
          <w:i/>
          <w:lang w:val="fr-CA"/>
        </w:rPr>
        <w:t>Droit international privé</w:t>
      </w:r>
      <w:r w:rsidRPr="00F52D1E">
        <w:rPr>
          <w:rFonts w:cs="Times New Roman"/>
          <w:lang w:val="fr-CA"/>
        </w:rPr>
        <w:t xml:space="preserve">, t. II, </w:t>
      </w:r>
      <w:r w:rsidRPr="00F52D1E">
        <w:rPr>
          <w:rFonts w:cs="Times New Roman"/>
          <w:i/>
          <w:lang w:val="fr-CA"/>
        </w:rPr>
        <w:t>Règles spécifiques</w:t>
      </w:r>
      <w:r w:rsidRPr="00F52D1E">
        <w:rPr>
          <w:rFonts w:cs="Times New Roman"/>
          <w:lang w:val="fr-CA"/>
        </w:rPr>
        <w:t xml:space="preserve"> (2003), n° 311; G. Goldstein, </w:t>
      </w:r>
      <w:r w:rsidRPr="00F52D1E">
        <w:rPr>
          <w:rFonts w:cs="Times New Roman"/>
          <w:i/>
          <w:lang w:val="fr-CA"/>
        </w:rPr>
        <w:t>Droit international privé</w:t>
      </w:r>
      <w:r w:rsidRPr="00F52D1E">
        <w:rPr>
          <w:rFonts w:cs="Times New Roman"/>
          <w:lang w:val="fr-CA"/>
        </w:rPr>
        <w:t>, vol. 2,</w:t>
      </w:r>
      <w:r w:rsidRPr="00F52D1E">
        <w:rPr>
          <w:rFonts w:cs="Times New Roman"/>
          <w:i/>
          <w:lang w:val="fr-CA"/>
        </w:rPr>
        <w:t xml:space="preserve"> Compétence internationale des autorités québécoises et effets des décisions étrangères (Art. 3134 à 3168 C.c.Q.) </w:t>
      </w:r>
      <w:r w:rsidRPr="00F52D1E">
        <w:rPr>
          <w:rFonts w:cs="Times New Roman"/>
          <w:lang w:val="fr-CA"/>
        </w:rPr>
        <w:t xml:space="preserve">(2012), p. 273. Ainsi, les notions d’action personnelle, d’action réelle et d’action mixte auxquelles renvoient les dispositions particulières du titre troisième du Livre dixième du </w:t>
      </w:r>
      <w:r w:rsidRPr="00F52D1E">
        <w:rPr>
          <w:rFonts w:cs="Times New Roman"/>
          <w:i/>
          <w:lang w:val="fr-CA"/>
        </w:rPr>
        <w:t>C.c.Q.</w:t>
      </w:r>
      <w:r w:rsidRPr="00F52D1E">
        <w:rPr>
          <w:rFonts w:cs="Times New Roman"/>
          <w:lang w:val="fr-CA"/>
        </w:rPr>
        <w:t xml:space="preserve"> doivent être définies en fonction du droit</w:t>
      </w:r>
      <w:r w:rsidR="009E2F25">
        <w:rPr>
          <w:rFonts w:cs="Times New Roman"/>
          <w:lang w:val="fr-CA"/>
        </w:rPr>
        <w:t xml:space="preserve"> québécois : Emanuelli, n° 412.</w:t>
      </w:r>
    </w:p>
    <w:p w:rsidR="00CF3116" w:rsidRPr="00F52D1E" w:rsidRDefault="00CF3116" w:rsidP="00CF3116">
      <w:pPr>
        <w:pStyle w:val="ParaNoNdepar-AltN"/>
        <w:rPr>
          <w:rFonts w:cs="Times New Roman"/>
          <w:lang w:val="fr-CA"/>
        </w:rPr>
      </w:pPr>
      <w:r w:rsidRPr="00F52D1E">
        <w:rPr>
          <w:rFonts w:cs="Times New Roman"/>
          <w:lang w:val="fr-CA"/>
        </w:rPr>
        <w:t xml:space="preserve">En droit civil, une « action réelle » est une « [a]ction par laquelle on demande la reconnaissance ou la protection d’un </w:t>
      </w:r>
      <w:r w:rsidRPr="00F52D1E">
        <w:rPr>
          <w:rFonts w:cs="Times New Roman"/>
          <w:u w:val="single"/>
          <w:lang w:val="fr-CA"/>
        </w:rPr>
        <w:t>droit réel</w:t>
      </w:r>
      <w:r w:rsidRPr="00F52D1E">
        <w:rPr>
          <w:rFonts w:cs="Times New Roman"/>
          <w:lang w:val="fr-CA"/>
        </w:rPr>
        <w:t xml:space="preserve"> (droit de propriété, servitude, usufruit, hypothèque) et qui est mobilière si le droit réel exercé porte sur un </w:t>
      </w:r>
      <w:r w:rsidRPr="00F52D1E">
        <w:rPr>
          <w:rFonts w:cs="Times New Roman"/>
          <w:lang w:val="fr-CA"/>
        </w:rPr>
        <w:lastRenderedPageBreak/>
        <w:t xml:space="preserve">meuble [et] immobilière si le droit porte sur un immeuble. Ex. action en revendication d’un immeuble » : </w:t>
      </w:r>
      <w:r w:rsidRPr="00F52D1E">
        <w:rPr>
          <w:rFonts w:cs="Times New Roman"/>
          <w:i/>
          <w:lang w:val="fr-CA"/>
        </w:rPr>
        <w:t>Bern c. Bern</w:t>
      </w:r>
      <w:r w:rsidRPr="00F52D1E">
        <w:rPr>
          <w:rFonts w:cs="Times New Roman"/>
          <w:lang w:val="fr-CA"/>
        </w:rPr>
        <w:t xml:space="preserve">, [1995] R.D.J. 510 (C.A.), p. 516 (nous soulignons), citant G. Cornu, dir., </w:t>
      </w:r>
      <w:r w:rsidRPr="00F52D1E">
        <w:rPr>
          <w:rFonts w:cs="Times New Roman"/>
          <w:i/>
          <w:lang w:val="fr-CA"/>
        </w:rPr>
        <w:t>Vocabulaire juridique</w:t>
      </w:r>
      <w:r w:rsidRPr="00F52D1E">
        <w:rPr>
          <w:rFonts w:cs="Times New Roman"/>
          <w:lang w:val="fr-CA"/>
        </w:rPr>
        <w:t xml:space="preserve"> (4</w:t>
      </w:r>
      <w:r w:rsidRPr="00F52D1E">
        <w:rPr>
          <w:rFonts w:cs="Times New Roman"/>
          <w:vertAlign w:val="superscript"/>
          <w:lang w:val="fr-CA"/>
        </w:rPr>
        <w:t>e</w:t>
      </w:r>
      <w:r w:rsidRPr="00F52D1E">
        <w:rPr>
          <w:rFonts w:cs="Times New Roman"/>
          <w:lang w:val="fr-CA"/>
        </w:rPr>
        <w:t xml:space="preserve"> éd. 1994), p. 21, « action réelle »; voir aussi H. Reid, avec la collaboration de S. Reid, </w:t>
      </w:r>
      <w:r w:rsidRPr="00F52D1E">
        <w:rPr>
          <w:rFonts w:cs="Times New Roman"/>
          <w:i/>
          <w:lang w:val="fr-CA"/>
        </w:rPr>
        <w:t>Dictionnaire de droit québécois et canadien</w:t>
      </w:r>
      <w:r w:rsidRPr="00F52D1E">
        <w:rPr>
          <w:rFonts w:cs="Times New Roman"/>
          <w:lang w:val="fr-CA"/>
        </w:rPr>
        <w:t xml:space="preserve"> (5</w:t>
      </w:r>
      <w:r w:rsidRPr="00F52D1E">
        <w:rPr>
          <w:rFonts w:cs="Times New Roman"/>
          <w:vertAlign w:val="superscript"/>
          <w:lang w:val="fr-CA"/>
        </w:rPr>
        <w:t>e</w:t>
      </w:r>
      <w:r w:rsidRPr="00F52D1E">
        <w:rPr>
          <w:rFonts w:cs="Times New Roman"/>
          <w:lang w:val="fr-CA"/>
        </w:rPr>
        <w:t xml:space="preserve"> éd. 2015), p. 27, « action réelle »; </w:t>
      </w:r>
      <w:r w:rsidRPr="00F52D1E">
        <w:rPr>
          <w:rFonts w:cs="Times New Roman"/>
          <w:i/>
          <w:lang w:val="fr-CA"/>
        </w:rPr>
        <w:t>Dictionnaire de droit privé et lexiques bilingues</w:t>
      </w:r>
      <w:r w:rsidRPr="00F52D1E">
        <w:rPr>
          <w:rFonts w:cs="Times New Roman"/>
          <w:lang w:val="fr-CA"/>
        </w:rPr>
        <w:t xml:space="preserve"> (2</w:t>
      </w:r>
      <w:r w:rsidRPr="00F52D1E">
        <w:rPr>
          <w:rFonts w:cs="Times New Roman"/>
          <w:vertAlign w:val="superscript"/>
          <w:lang w:val="fr-CA"/>
        </w:rPr>
        <w:t>e</w:t>
      </w:r>
      <w:r w:rsidRPr="00F52D1E">
        <w:rPr>
          <w:rFonts w:cs="Times New Roman"/>
          <w:lang w:val="fr-CA"/>
        </w:rPr>
        <w:t xml:space="preserve"> éd. 1991), p. 31, « action réelle ».</w:t>
      </w:r>
    </w:p>
    <w:p w:rsidR="00CF3116" w:rsidRPr="00F52D1E" w:rsidRDefault="00CF3116" w:rsidP="00CF3116">
      <w:pPr>
        <w:pStyle w:val="ParaNoNdepar-AltN"/>
        <w:rPr>
          <w:rFonts w:cs="Times New Roman"/>
          <w:lang w:val="fr-CA"/>
        </w:rPr>
      </w:pPr>
      <w:r w:rsidRPr="00F52D1E">
        <w:rPr>
          <w:rFonts w:cs="Times New Roman"/>
          <w:lang w:val="fr-CA"/>
        </w:rPr>
        <w:t>La notion d’« action réelle » s’oppose à la notion d’« action personnelle », qui se définit comme une</w:t>
      </w:r>
    </w:p>
    <w:p w:rsidR="00CF3116" w:rsidRPr="00F52D1E" w:rsidRDefault="00CF3116" w:rsidP="00CF3116">
      <w:pPr>
        <w:pStyle w:val="Citation-AltC"/>
        <w:rPr>
          <w:lang w:val="fr-CA"/>
        </w:rPr>
      </w:pPr>
      <w:r w:rsidRPr="00F52D1E">
        <w:rPr>
          <w:lang w:val="fr-CA"/>
        </w:rPr>
        <w:t>[</w:t>
      </w:r>
      <w:proofErr w:type="gramStart"/>
      <w:r w:rsidRPr="00F52D1E">
        <w:rPr>
          <w:lang w:val="fr-CA"/>
        </w:rPr>
        <w:t>a]</w:t>
      </w:r>
      <w:proofErr w:type="gramEnd"/>
      <w:r w:rsidRPr="00F52D1E">
        <w:rPr>
          <w:lang w:val="fr-CA"/>
        </w:rPr>
        <w:t xml:space="preserve">ction par laquelle on demande la reconnaissance ou la protection d’un </w:t>
      </w:r>
      <w:r w:rsidRPr="00F52D1E">
        <w:rPr>
          <w:u w:val="single"/>
          <w:lang w:val="fr-CA"/>
        </w:rPr>
        <w:t>droit personnel</w:t>
      </w:r>
      <w:r w:rsidRPr="00F52D1E">
        <w:rPr>
          <w:lang w:val="fr-CA"/>
        </w:rPr>
        <w:t xml:space="preserve"> (d’une créance) quelle qu’en soit la source (contrat, quasi</w:t>
      </w:r>
      <w:r w:rsidRPr="00F52D1E">
        <w:rPr>
          <w:lang w:val="fr-CA"/>
        </w:rPr>
        <w:noBreakHyphen/>
        <w:t>contrat, délit, quasi</w:t>
      </w:r>
      <w:r w:rsidRPr="00F52D1E">
        <w:rPr>
          <w:lang w:val="fr-CA"/>
        </w:rPr>
        <w:noBreakHyphen/>
        <w:t>délit) et qui est, en général, mobilière, comme la créance dont l’exécution est réclamée (ex. action en recouvrement d’un prêt d’argent) mais qui peut être immobilière, si cette créance l’est aussi. Ex. l’action en délivrance de tant d’hectares de terre dans un terrain de lotissement. [Nous soulignons.]</w:t>
      </w:r>
    </w:p>
    <w:p w:rsidR="00CF3116" w:rsidRPr="00F52D1E" w:rsidRDefault="00CF3116" w:rsidP="00CF3116">
      <w:pPr>
        <w:pStyle w:val="Citation-AltC"/>
        <w:rPr>
          <w:lang w:val="fr-CA"/>
        </w:rPr>
      </w:pPr>
    </w:p>
    <w:p w:rsidR="00CF3116" w:rsidRPr="00F52D1E" w:rsidRDefault="00CF3116" w:rsidP="00C849CC">
      <w:pPr>
        <w:pStyle w:val="Citation-AltC"/>
        <w:ind w:left="0"/>
        <w:rPr>
          <w:lang w:val="fr-CA"/>
        </w:rPr>
      </w:pPr>
      <w:r w:rsidRPr="00F52D1E">
        <w:rPr>
          <w:lang w:val="fr-CA"/>
        </w:rPr>
        <w:t>(</w:t>
      </w:r>
      <w:r w:rsidRPr="00F52D1E">
        <w:rPr>
          <w:i/>
          <w:lang w:val="fr-CA"/>
        </w:rPr>
        <w:t>Bern</w:t>
      </w:r>
      <w:r w:rsidRPr="00F52D1E">
        <w:rPr>
          <w:lang w:val="fr-CA"/>
        </w:rPr>
        <w:t xml:space="preserve">, par. 516, citant Cornu, p. 21, « action personnelle »; voir aussi Reid, p. 26, « action personnelle »; </w:t>
      </w:r>
      <w:r w:rsidRPr="00F52D1E">
        <w:rPr>
          <w:i/>
          <w:lang w:val="fr-CA"/>
        </w:rPr>
        <w:t>Dictionnaire de droit privé et lexiques bilingues</w:t>
      </w:r>
      <w:r w:rsidRPr="00F52D1E">
        <w:rPr>
          <w:lang w:val="fr-CA"/>
        </w:rPr>
        <w:t>, p. 29</w:t>
      </w:r>
      <w:r w:rsidRPr="00F52D1E">
        <w:rPr>
          <w:lang w:val="fr-CA"/>
        </w:rPr>
        <w:noBreakHyphen/>
        <w:t>30, « action personnelle ».)</w:t>
      </w:r>
    </w:p>
    <w:p w:rsidR="00CF3116" w:rsidRPr="00F52D1E" w:rsidRDefault="00CF3116" w:rsidP="00CF3116">
      <w:pPr>
        <w:pStyle w:val="ParaNoNdepar-AltN"/>
        <w:rPr>
          <w:rFonts w:cs="Times New Roman"/>
          <w:lang w:val="fr-CA"/>
        </w:rPr>
      </w:pPr>
      <w:r w:rsidRPr="00F52D1E">
        <w:rPr>
          <w:rFonts w:cs="Times New Roman"/>
          <w:lang w:val="fr-CA"/>
        </w:rPr>
        <w:t xml:space="preserve">Enfin, l’« action mixte » est une « [a]ction par laquelle le demandeur agit tout à la fois en reconnaissance d’un droit réel et en exécution d’une obligation. Ex. l’action en résolution de la vente exercée contre l’acheteur pour défaut de paiement du prix; l’action par laquelle l’acquéreur ou le donataire demande à être mis en possession de l’immeuble dont il est devenu propriétaire par la vente ou la donation » : </w:t>
      </w:r>
      <w:r w:rsidRPr="00F52D1E">
        <w:rPr>
          <w:rFonts w:cs="Times New Roman"/>
          <w:i/>
          <w:lang w:val="fr-CA"/>
        </w:rPr>
        <w:t>Bern</w:t>
      </w:r>
      <w:r w:rsidRPr="00F52D1E">
        <w:rPr>
          <w:rFonts w:cs="Times New Roman"/>
          <w:lang w:val="fr-CA"/>
        </w:rPr>
        <w:t xml:space="preserve">, p. 516, citant Cornu, p. 20, « action mixte »; voir aussi Reid, p. 25, « action mixte »; </w:t>
      </w:r>
      <w:r w:rsidRPr="00F52D1E">
        <w:rPr>
          <w:rFonts w:cs="Times New Roman"/>
          <w:i/>
          <w:lang w:val="fr-CA"/>
        </w:rPr>
        <w:t>Dictionnaire de droit privé et lexiques bilingues</w:t>
      </w:r>
      <w:r w:rsidRPr="00F52D1E">
        <w:rPr>
          <w:rFonts w:cs="Times New Roman"/>
          <w:lang w:val="fr-CA"/>
        </w:rPr>
        <w:t>, p. 28, « action mixte »; R. Savoie et L.</w:t>
      </w:r>
      <w:r w:rsidRPr="00F52D1E">
        <w:rPr>
          <w:rFonts w:cs="Times New Roman"/>
          <w:lang w:val="fr-CA"/>
        </w:rPr>
        <w:noBreakHyphen/>
        <w:t xml:space="preserve">P. Taschereau, </w:t>
      </w:r>
      <w:r w:rsidRPr="00F52D1E">
        <w:rPr>
          <w:rFonts w:cs="Times New Roman"/>
          <w:i/>
          <w:lang w:val="fr-CA"/>
        </w:rPr>
        <w:t>Procédure civile</w:t>
      </w:r>
      <w:r w:rsidRPr="00F52D1E">
        <w:rPr>
          <w:rFonts w:cs="Times New Roman"/>
          <w:lang w:val="fr-CA"/>
        </w:rPr>
        <w:t xml:space="preserve">, t. I, </w:t>
      </w:r>
      <w:r w:rsidRPr="00F52D1E">
        <w:rPr>
          <w:rFonts w:cs="Times New Roman"/>
          <w:i/>
          <w:lang w:val="fr-CA"/>
        </w:rPr>
        <w:t>Introduction</w:t>
      </w:r>
      <w:r w:rsidRPr="00F52D1E">
        <w:rPr>
          <w:rFonts w:cs="Times New Roman"/>
          <w:lang w:val="fr-CA"/>
        </w:rPr>
        <w:t xml:space="preserve">, </w:t>
      </w:r>
      <w:r w:rsidRPr="00F52D1E">
        <w:rPr>
          <w:rFonts w:cs="Times New Roman"/>
          <w:i/>
          <w:lang w:val="fr-CA"/>
        </w:rPr>
        <w:t>Théorie générale, Organisation judiciaire, Action en justice</w:t>
      </w:r>
      <w:r w:rsidRPr="00F52D1E">
        <w:rPr>
          <w:rFonts w:cs="Times New Roman"/>
          <w:lang w:val="fr-CA"/>
        </w:rPr>
        <w:t xml:space="preserve"> (1973), p. 70. Il existerait deux catégories </w:t>
      </w:r>
      <w:r w:rsidRPr="00F52D1E">
        <w:rPr>
          <w:rFonts w:cs="Times New Roman"/>
          <w:lang w:val="fr-CA"/>
        </w:rPr>
        <w:lastRenderedPageBreak/>
        <w:t>« traditionnelles » d’actions mixtes : « </w:t>
      </w:r>
      <w:r w:rsidR="00C05B8D">
        <w:rPr>
          <w:rFonts w:cs="Times New Roman"/>
          <w:lang w:val="fr-CA"/>
        </w:rPr>
        <w:t xml:space="preserve">. . . </w:t>
      </w:r>
      <w:r w:rsidRPr="00F52D1E">
        <w:rPr>
          <w:rFonts w:cs="Times New Roman"/>
          <w:lang w:val="fr-CA"/>
        </w:rPr>
        <w:t xml:space="preserve">celles qui visent à l’exécution d’un acte juridique qui a créé ou transféré un droit réel tout en donnant naissance à un droit de créance » et « celles qui visent à la résolution, à la révision ou à l’annulation d’un acte translatif ou créateur d’un droit réel » (Goldstein et Groffier (1998), n° 151, citant H. Reid, avec la collaboration de C. Carrier et L. Fontaine, </w:t>
      </w:r>
      <w:r w:rsidRPr="00F52D1E">
        <w:rPr>
          <w:rFonts w:cs="Times New Roman"/>
          <w:i/>
          <w:lang w:val="fr-CA"/>
        </w:rPr>
        <w:t>Code de procédure civile du Québec : Complément jurisprudence et doctrine</w:t>
      </w:r>
      <w:r w:rsidRPr="00F52D1E">
        <w:rPr>
          <w:rFonts w:cs="Times New Roman"/>
          <w:lang w:val="fr-CA"/>
        </w:rPr>
        <w:t xml:space="preserve"> (4</w:t>
      </w:r>
      <w:r w:rsidRPr="00F52D1E">
        <w:rPr>
          <w:rFonts w:cs="Times New Roman"/>
          <w:vertAlign w:val="superscript"/>
          <w:lang w:val="fr-CA"/>
        </w:rPr>
        <w:t>e</w:t>
      </w:r>
      <w:r w:rsidRPr="00F52D1E">
        <w:rPr>
          <w:rFonts w:cs="Times New Roman"/>
          <w:lang w:val="fr-CA"/>
        </w:rPr>
        <w:t xml:space="preserve"> éd. 1988), p. 85; voir aussi Savoie et Taschereau, p. 71</w:t>
      </w:r>
      <w:r w:rsidRPr="00F52D1E">
        <w:rPr>
          <w:rFonts w:cs="Times New Roman"/>
          <w:lang w:val="fr-CA"/>
        </w:rPr>
        <w:noBreakHyphen/>
        <w:t xml:space="preserve">72). Dit simplement, « [l]a classification d’une action comme réelle ou personnelle dépend des droits qu’on cherche à faire valoir; l’action est mixte lorsqu’elle cherche à faire valoir et des droits réels et des droits personnels » : </w:t>
      </w:r>
      <w:r w:rsidRPr="00F52D1E">
        <w:rPr>
          <w:rFonts w:cs="Times New Roman"/>
          <w:i/>
          <w:lang w:val="fr-CA"/>
        </w:rPr>
        <w:t>Domaine de l’Isle aux Oyes Inc. c. D’Aragon</w:t>
      </w:r>
      <w:r w:rsidRPr="00F52D1E">
        <w:rPr>
          <w:rFonts w:cs="Times New Roman"/>
          <w:lang w:val="fr-CA"/>
        </w:rPr>
        <w:t>, [1984] R.D.J. 171 (C.A.), p. 173; voir également A.</w:t>
      </w:r>
      <w:r w:rsidRPr="00F52D1E">
        <w:rPr>
          <w:rFonts w:cs="Times New Roman"/>
          <w:lang w:val="fr-CA"/>
        </w:rPr>
        <w:noBreakHyphen/>
        <w:t xml:space="preserve">F. Debruche, </w:t>
      </w:r>
      <w:r w:rsidRPr="00F52D1E">
        <w:rPr>
          <w:rFonts w:cs="Times New Roman"/>
          <w:i/>
          <w:lang w:val="fr-CA"/>
        </w:rPr>
        <w:t>Équité du juge et territoires du droit privé</w:t>
      </w:r>
      <w:r w:rsidRPr="00F52D1E">
        <w:rPr>
          <w:rFonts w:cs="Times New Roman"/>
          <w:lang w:val="fr-CA"/>
        </w:rPr>
        <w:t xml:space="preserve"> (2008), p. 37.</w:t>
      </w:r>
    </w:p>
    <w:p w:rsidR="00CF3116" w:rsidRPr="00F52D1E" w:rsidRDefault="00CF3116" w:rsidP="00CF3116">
      <w:pPr>
        <w:pStyle w:val="ParaNoNdepar-AltN"/>
        <w:rPr>
          <w:rFonts w:cs="Times New Roman"/>
          <w:lang w:val="fr-CA"/>
        </w:rPr>
      </w:pPr>
      <w:r w:rsidRPr="00F52D1E">
        <w:rPr>
          <w:rFonts w:cs="Times New Roman"/>
          <w:lang w:val="fr-CA"/>
        </w:rPr>
        <w:t>En l’espèce, le PGTNL ne conteste pas la compétence des autorités québécoises sur l’</w:t>
      </w:r>
      <w:r w:rsidRPr="00F52D1E">
        <w:rPr>
          <w:rFonts w:cs="Times New Roman"/>
          <w:i/>
          <w:lang w:val="fr-CA"/>
        </w:rPr>
        <w:t>entièreté</w:t>
      </w:r>
      <w:r w:rsidRPr="00F52D1E">
        <w:rPr>
          <w:rFonts w:cs="Times New Roman"/>
          <w:lang w:val="fr-CA"/>
        </w:rPr>
        <w:t xml:space="preserve"> du litige; il conteste leur compétence </w:t>
      </w:r>
      <w:r w:rsidRPr="00F52D1E">
        <w:rPr>
          <w:rFonts w:cs="Times New Roman"/>
          <w:i/>
          <w:lang w:val="fr-CA"/>
        </w:rPr>
        <w:t>seulement</w:t>
      </w:r>
      <w:r w:rsidRPr="00F52D1E">
        <w:rPr>
          <w:rFonts w:cs="Times New Roman"/>
          <w:lang w:val="fr-CA"/>
        </w:rPr>
        <w:t xml:space="preserve"> pour entendre le volet de l’action des Innus qui vise selon lui à faire reconnaître ou à protéger un titre ancestral ou d’autres droits ancestraux ou issus de traités sur des terres qui sont situées </w:t>
      </w:r>
      <w:r w:rsidRPr="00F52D1E">
        <w:rPr>
          <w:rFonts w:cs="Times New Roman"/>
          <w:i/>
          <w:lang w:val="fr-CA"/>
        </w:rPr>
        <w:t>à l’extérieur</w:t>
      </w:r>
      <w:r w:rsidRPr="00F52D1E">
        <w:rPr>
          <w:rFonts w:cs="Times New Roman"/>
          <w:lang w:val="fr-CA"/>
        </w:rPr>
        <w:t xml:space="preserve"> du Québec : m.a., par. 60. Il soumet que ce volet de l’action des Innus est « réel », puisque le titre ancestral et les autres droits ancestraux ou issus de traités seraient des « droits réels » aux fins du droit international privé. Le bien en litige n’étant pas situé au Québec, les autorités québécoises ne seraient par conséquent pas compétentes au titre de l’art. 3152 </w:t>
      </w:r>
      <w:r w:rsidRPr="00F52D1E">
        <w:rPr>
          <w:rFonts w:cs="Times New Roman"/>
          <w:i/>
          <w:lang w:val="fr-CA"/>
        </w:rPr>
        <w:t>C.c.Q.</w:t>
      </w:r>
      <w:r w:rsidR="009E2F25">
        <w:rPr>
          <w:rFonts w:cs="Times New Roman"/>
          <w:lang w:val="fr-CA"/>
        </w:rPr>
        <w:t> : par. 68</w:t>
      </w:r>
      <w:r w:rsidR="009E2F25">
        <w:rPr>
          <w:rFonts w:cs="Times New Roman"/>
          <w:lang w:val="fr-CA"/>
        </w:rPr>
        <w:noBreakHyphen/>
        <w:t>85.</w:t>
      </w:r>
    </w:p>
    <w:p w:rsidR="00CF3116" w:rsidRPr="00F52D1E" w:rsidRDefault="00CF3116" w:rsidP="00CF3116">
      <w:pPr>
        <w:pStyle w:val="ParaNoNdepar-AltN"/>
        <w:rPr>
          <w:rFonts w:cs="Times New Roman"/>
          <w:lang w:val="fr-CA"/>
        </w:rPr>
      </w:pPr>
      <w:r w:rsidRPr="00F52D1E">
        <w:rPr>
          <w:rFonts w:cs="Times New Roman"/>
          <w:lang w:val="fr-CA"/>
        </w:rPr>
        <w:t xml:space="preserve">Les Innus reconnaissent que le titre ancestral est un droit foncier — « mais pas un droit réel aux fins de la classification des biens selon les règles de droit international privé » : </w:t>
      </w:r>
      <w:proofErr w:type="gramStart"/>
      <w:r w:rsidRPr="00F52D1E">
        <w:rPr>
          <w:rFonts w:cs="Times New Roman"/>
          <w:lang w:val="fr-CA"/>
        </w:rPr>
        <w:t>m.i.,</w:t>
      </w:r>
      <w:proofErr w:type="gramEnd"/>
      <w:r w:rsidRPr="00F52D1E">
        <w:rPr>
          <w:rFonts w:cs="Times New Roman"/>
          <w:lang w:val="fr-CA"/>
        </w:rPr>
        <w:t xml:space="preserve"> par. 32. Les autres droits ancestraux ou issus de traités </w:t>
      </w:r>
      <w:r w:rsidRPr="00F52D1E">
        <w:rPr>
          <w:rFonts w:cs="Times New Roman"/>
          <w:lang w:val="fr-CA"/>
        </w:rPr>
        <w:lastRenderedPageBreak/>
        <w:t>seraient des « droits</w:t>
      </w:r>
      <w:r w:rsidRPr="00F52D1E">
        <w:rPr>
          <w:rFonts w:cs="Times New Roman"/>
          <w:lang w:val="fr-CA"/>
        </w:rPr>
        <w:noBreakHyphen/>
        <w:t>activités » (par. 112) sans aucun « rapport précis au territoire » (par. 111 (soulignement omis)). Ils qualifient leur action d’action personnelle, puisqu’il s’agit selon eux d’une simple action en responsabilité civile extracontractuelle dirigée contre des sociétés privées, à savoir IOC et QNS&amp;L : par. 66 et 79. Il ne s’agirait donc pas d’une action réelle : par. 120</w:t>
      </w:r>
      <w:r w:rsidRPr="00F52D1E">
        <w:rPr>
          <w:rFonts w:cs="Times New Roman"/>
          <w:lang w:val="fr-CA"/>
        </w:rPr>
        <w:noBreakHyphen/>
        <w:t xml:space="preserve">129. Les défenderesses étant domiciliées au Québec et un préjudice y ayant été subi, les autorités québécoises seraient par conséquent compétentes au titre </w:t>
      </w:r>
      <w:proofErr w:type="gramStart"/>
      <w:r w:rsidRPr="00F52D1E">
        <w:rPr>
          <w:rFonts w:cs="Times New Roman"/>
          <w:lang w:val="fr-CA"/>
        </w:rPr>
        <w:t>des art</w:t>
      </w:r>
      <w:proofErr w:type="gramEnd"/>
      <w:r w:rsidRPr="00F52D1E">
        <w:rPr>
          <w:rFonts w:cs="Times New Roman"/>
          <w:lang w:val="fr-CA"/>
        </w:rPr>
        <w:t xml:space="preserve">. 3134 et 3148 al. 1(1) et (3) </w:t>
      </w:r>
      <w:r w:rsidRPr="00F52D1E">
        <w:rPr>
          <w:rFonts w:cs="Times New Roman"/>
          <w:i/>
          <w:lang w:val="fr-CA"/>
        </w:rPr>
        <w:t>C.c.Q.</w:t>
      </w:r>
      <w:r w:rsidRPr="00F52D1E">
        <w:rPr>
          <w:rFonts w:cs="Times New Roman"/>
          <w:lang w:val="fr-CA"/>
        </w:rPr>
        <w:t xml:space="preserve"> Les Innus insistent sur le caractère </w:t>
      </w:r>
      <w:r w:rsidRPr="00F52D1E">
        <w:rPr>
          <w:rFonts w:cs="Times New Roman"/>
          <w:i/>
          <w:lang w:val="fr-CA"/>
        </w:rPr>
        <w:t>sui generis</w:t>
      </w:r>
      <w:r w:rsidRPr="00F52D1E">
        <w:rPr>
          <w:rFonts w:cs="Times New Roman"/>
          <w:lang w:val="fr-CA"/>
        </w:rPr>
        <w:t xml:space="preserve"> des droits ancestraux qui seraient « inclassifiables » selon les notions traditionnelles du </w:t>
      </w:r>
      <w:r w:rsidR="009E2F25">
        <w:rPr>
          <w:rFonts w:cs="Times New Roman"/>
          <w:lang w:val="fr-CA"/>
        </w:rPr>
        <w:t>droit des biens : par. 101</w:t>
      </w:r>
      <w:r w:rsidR="009E2F25">
        <w:rPr>
          <w:rFonts w:cs="Times New Roman"/>
          <w:lang w:val="fr-CA"/>
        </w:rPr>
        <w:noBreakHyphen/>
        <w:t>105.</w:t>
      </w:r>
    </w:p>
    <w:p w:rsidR="00CF3116" w:rsidRPr="00F52D1E" w:rsidRDefault="00CF3116" w:rsidP="00CF3116">
      <w:pPr>
        <w:pStyle w:val="ParaNoNdepar-AltN"/>
        <w:rPr>
          <w:rFonts w:cs="Times New Roman"/>
          <w:lang w:val="fr-CA"/>
        </w:rPr>
      </w:pPr>
      <w:r w:rsidRPr="00F52D1E">
        <w:rPr>
          <w:rFonts w:cs="Times New Roman"/>
          <w:lang w:val="fr-CA"/>
        </w:rPr>
        <w:t xml:space="preserve">De fait, notre Cour a reconnu le caractère </w:t>
      </w:r>
      <w:r w:rsidRPr="00F52D1E">
        <w:rPr>
          <w:rFonts w:cs="Times New Roman"/>
          <w:i/>
          <w:lang w:val="fr-CA"/>
        </w:rPr>
        <w:t>sui generis</w:t>
      </w:r>
      <w:r w:rsidRPr="00F52D1E">
        <w:rPr>
          <w:rFonts w:cs="Times New Roman"/>
          <w:lang w:val="fr-CA"/>
        </w:rPr>
        <w:t xml:space="preserve"> des droits ancestraux : voir, par exemple, </w:t>
      </w:r>
      <w:r w:rsidRPr="00F52D1E">
        <w:rPr>
          <w:rFonts w:cs="Times New Roman"/>
          <w:i/>
          <w:lang w:val="fr-CA"/>
        </w:rPr>
        <w:t>R. c. Sparrow</w:t>
      </w:r>
      <w:r w:rsidRPr="00F52D1E">
        <w:rPr>
          <w:rFonts w:cs="Times New Roman"/>
          <w:lang w:val="fr-CA"/>
        </w:rPr>
        <w:t>, [1990] 1 R.C.S. 1075, p. 1112. Le qualificatif « </w:t>
      </w:r>
      <w:r w:rsidRPr="00F52D1E">
        <w:rPr>
          <w:rFonts w:cs="Times New Roman"/>
          <w:i/>
          <w:lang w:val="fr-CA"/>
        </w:rPr>
        <w:t>sui generis</w:t>
      </w:r>
      <w:r w:rsidRPr="00F52D1E">
        <w:rPr>
          <w:rFonts w:cs="Times New Roman"/>
          <w:lang w:val="fr-CA"/>
        </w:rPr>
        <w:t xml:space="preserve"> » est employé à propos du titre ancestral en particulier « afin de le différencier des intérêts de propriété “ordinaires” », mais également parce qu’il est « impossible d’expliquer entièrement </w:t>
      </w:r>
      <w:r w:rsidRPr="00F52D1E">
        <w:rPr>
          <w:rFonts w:cs="Times New Roman"/>
          <w:u w:val="single"/>
          <w:lang w:val="fr-CA"/>
        </w:rPr>
        <w:t>ses caractéristiques</w:t>
      </w:r>
      <w:r w:rsidRPr="00F52D1E">
        <w:rPr>
          <w:rFonts w:cs="Times New Roman"/>
          <w:lang w:val="fr-CA"/>
        </w:rPr>
        <w:t xml:space="preserve"> en fonction soit des règles du droit des biens en common law soit des règles relatives à la propriété prévues par les régimes juridiques autochtones » : </w:t>
      </w:r>
      <w:r w:rsidRPr="00F52D1E">
        <w:rPr>
          <w:rFonts w:cs="Times New Roman"/>
          <w:i/>
          <w:lang w:val="fr-CA"/>
        </w:rPr>
        <w:t>Delgamuukw</w:t>
      </w:r>
      <w:r w:rsidRPr="00F52D1E">
        <w:rPr>
          <w:rFonts w:cs="Times New Roman"/>
          <w:lang w:val="fr-CA"/>
        </w:rPr>
        <w:t xml:space="preserve">, par. 112 (nous soulignons). Le droit relatif aux droits ancestraux n’est « ni d’origine anglaise, ni d’origine autochtone : il s’agit d’une forme de droit intersociétal, découlant de l’évolution de pratiques de longue date liant les diverses collectivités » : </w:t>
      </w:r>
      <w:r w:rsidRPr="00F52D1E">
        <w:rPr>
          <w:rFonts w:cs="Times New Roman"/>
          <w:i/>
          <w:lang w:val="fr-CA"/>
        </w:rPr>
        <w:t>Van der Peet</w:t>
      </w:r>
      <w:r w:rsidRPr="00F52D1E">
        <w:rPr>
          <w:rFonts w:cs="Times New Roman"/>
          <w:lang w:val="fr-CA"/>
        </w:rPr>
        <w:t xml:space="preserve">, par. 42, citant B. Slattery, « The Legal Basis of Aboriginal Title », dans F. Cassidy, </w:t>
      </w:r>
      <w:proofErr w:type="gramStart"/>
      <w:r w:rsidRPr="00F52D1E">
        <w:rPr>
          <w:rFonts w:cs="Times New Roman"/>
          <w:lang w:val="fr-CA"/>
        </w:rPr>
        <w:t>dir.,</w:t>
      </w:r>
      <w:proofErr w:type="gramEnd"/>
      <w:r w:rsidRPr="00F52D1E">
        <w:rPr>
          <w:rFonts w:cs="Times New Roman"/>
          <w:lang w:val="fr-CA"/>
        </w:rPr>
        <w:t xml:space="preserve"> </w:t>
      </w:r>
      <w:r w:rsidRPr="00F52D1E">
        <w:rPr>
          <w:rFonts w:cs="Times New Roman"/>
          <w:i/>
          <w:lang w:val="fr-CA"/>
        </w:rPr>
        <w:t>Aboriginal Title in British Columbia : Delgamuukw v. The Queen</w:t>
      </w:r>
      <w:r w:rsidRPr="00F52D1E">
        <w:rPr>
          <w:rFonts w:cs="Times New Roman"/>
          <w:lang w:val="fr-CA"/>
        </w:rPr>
        <w:t xml:space="preserve"> (1992), p. 113, 120</w:t>
      </w:r>
      <w:r w:rsidRPr="00F52D1E">
        <w:rPr>
          <w:rFonts w:cs="Times New Roman"/>
          <w:lang w:val="fr-CA"/>
        </w:rPr>
        <w:noBreakHyphen/>
        <w:t xml:space="preserve">121. Il en résulte que le titre ancestral est un droit </w:t>
      </w:r>
      <w:r w:rsidRPr="00F52D1E">
        <w:rPr>
          <w:rFonts w:cs="Times New Roman"/>
          <w:i/>
          <w:lang w:val="fr-CA"/>
        </w:rPr>
        <w:t>sui generis</w:t>
      </w:r>
      <w:r w:rsidRPr="00F52D1E">
        <w:rPr>
          <w:rFonts w:cs="Times New Roman"/>
          <w:lang w:val="fr-CA"/>
        </w:rPr>
        <w:t xml:space="preserve"> qui ne peut pas « être décrit au moyen des concepts traditionnels du droit des biens » : </w:t>
      </w:r>
      <w:r w:rsidRPr="00F52D1E">
        <w:rPr>
          <w:rFonts w:cs="Times New Roman"/>
          <w:i/>
          <w:lang w:val="fr-CA"/>
        </w:rPr>
        <w:t>Delgamuukw</w:t>
      </w:r>
      <w:r w:rsidRPr="00F52D1E">
        <w:rPr>
          <w:rFonts w:cs="Times New Roman"/>
          <w:lang w:val="fr-CA"/>
        </w:rPr>
        <w:t xml:space="preserve">, par. 190, le juge La Forest; voir aussi </w:t>
      </w:r>
      <w:r w:rsidRPr="00F52D1E">
        <w:rPr>
          <w:rFonts w:cs="Times New Roman"/>
          <w:i/>
          <w:lang w:val="fr-CA"/>
        </w:rPr>
        <w:t>Nation Tsilhqot’in</w:t>
      </w:r>
      <w:r w:rsidRPr="00F52D1E">
        <w:rPr>
          <w:rFonts w:cs="Times New Roman"/>
          <w:lang w:val="fr-CA"/>
        </w:rPr>
        <w:t xml:space="preserve">, par. 72. Autrement dit, dans ce domaine, la terminologie tirée du droit </w:t>
      </w:r>
      <w:r w:rsidRPr="00F52D1E">
        <w:rPr>
          <w:rFonts w:cs="Times New Roman"/>
          <w:lang w:val="fr-CA"/>
        </w:rPr>
        <w:lastRenderedPageBreak/>
        <w:t xml:space="preserve">général des biens est « quelque peu inadéquate » : </w:t>
      </w:r>
      <w:r w:rsidRPr="00F52D1E">
        <w:rPr>
          <w:rFonts w:cs="Times New Roman"/>
          <w:i/>
          <w:lang w:val="fr-CA"/>
        </w:rPr>
        <w:t>Guerin</w:t>
      </w:r>
      <w:r w:rsidRPr="00F52D1E">
        <w:rPr>
          <w:rFonts w:cs="Times New Roman"/>
          <w:lang w:val="fr-CA"/>
        </w:rPr>
        <w:t>, p. 382, le juge Di</w:t>
      </w:r>
      <w:r w:rsidR="009E2F25">
        <w:rPr>
          <w:rFonts w:cs="Times New Roman"/>
          <w:lang w:val="fr-CA"/>
        </w:rPr>
        <w:t>ckson (plus tard juge en chef).</w:t>
      </w:r>
    </w:p>
    <w:p w:rsidR="00CF3116" w:rsidRPr="00F52D1E" w:rsidRDefault="00CF3116" w:rsidP="00CF3116">
      <w:pPr>
        <w:pStyle w:val="ParaNoNdepar-AltN"/>
        <w:rPr>
          <w:rFonts w:cs="Times New Roman"/>
          <w:lang w:val="fr-CA"/>
        </w:rPr>
      </w:pPr>
      <w:r w:rsidRPr="00F52D1E">
        <w:rPr>
          <w:rFonts w:cs="Times New Roman"/>
          <w:lang w:val="fr-CA"/>
        </w:rPr>
        <w:t>Cependant, le droit international privé est couramment confronté à des difficultés semblables de classification, du fait qu’il s’agit d’un domaine du droit essentiellement national, mais dont la vocation est précisément de résoudre les conflits de lois ou de juridictions qui se présentent lorsqu’un litige transcende différents systèmes juridiques : Golds</w:t>
      </w:r>
      <w:r w:rsidR="009E2F25">
        <w:rPr>
          <w:rFonts w:cs="Times New Roman"/>
          <w:lang w:val="fr-CA"/>
        </w:rPr>
        <w:t>tein et Groffier (1998), n° 58.</w:t>
      </w:r>
    </w:p>
    <w:p w:rsidR="00CF3116" w:rsidRPr="00F52D1E" w:rsidRDefault="00CF3116" w:rsidP="00CF3116">
      <w:pPr>
        <w:pStyle w:val="ParaNoNdepar-AltN"/>
        <w:rPr>
          <w:rFonts w:cs="Times New Roman"/>
          <w:lang w:val="fr-CA"/>
        </w:rPr>
      </w:pPr>
      <w:r w:rsidRPr="00F52D1E">
        <w:rPr>
          <w:rFonts w:cs="Times New Roman"/>
          <w:lang w:val="fr-CA"/>
        </w:rPr>
        <w:t xml:space="preserve">En l’espèce, le Livre dixième du </w:t>
      </w:r>
      <w:r w:rsidRPr="00F52D1E">
        <w:rPr>
          <w:rFonts w:cs="Times New Roman"/>
          <w:i/>
          <w:lang w:val="fr-CA"/>
        </w:rPr>
        <w:t>C.c.Q.</w:t>
      </w:r>
      <w:r w:rsidRPr="00F52D1E">
        <w:rPr>
          <w:rFonts w:cs="Times New Roman"/>
          <w:lang w:val="fr-CA"/>
        </w:rPr>
        <w:t xml:space="preserve"> et son titre troisième définissant la compétence internationale des autorités québécoises sont d’inspiration civiliste, mais le volet de l’action des Innus qui, selon le PGTNL, vise la reconnaissance et la protection d’un titre ancestral et d’autres droits ancestraux ou issus de traités, repose à cet égard sur la common law fédérale, comme nous l’avons déjà signalé :</w:t>
      </w:r>
      <w:r w:rsidRPr="00F52D1E">
        <w:rPr>
          <w:rFonts w:cs="Times New Roman"/>
          <w:i/>
          <w:lang w:val="fr-CA"/>
        </w:rPr>
        <w:t xml:space="preserve"> Calder</w:t>
      </w:r>
      <w:r w:rsidRPr="00F52D1E">
        <w:rPr>
          <w:rFonts w:cs="Times New Roman"/>
          <w:lang w:val="fr-CA"/>
        </w:rPr>
        <w:t xml:space="preserve"> (1973); </w:t>
      </w:r>
      <w:r w:rsidRPr="00F52D1E">
        <w:rPr>
          <w:rFonts w:cs="Times New Roman"/>
          <w:i/>
          <w:lang w:val="fr-CA"/>
        </w:rPr>
        <w:t>Roberts</w:t>
      </w:r>
      <w:r w:rsidRPr="00F52D1E">
        <w:rPr>
          <w:rFonts w:cs="Times New Roman"/>
          <w:lang w:val="fr-CA"/>
        </w:rPr>
        <w:t xml:space="preserve">, p. 340; </w:t>
      </w:r>
      <w:r w:rsidRPr="00F52D1E">
        <w:rPr>
          <w:rFonts w:cs="Times New Roman"/>
          <w:i/>
          <w:lang w:val="fr-CA"/>
        </w:rPr>
        <w:t>Van der Peet</w:t>
      </w:r>
      <w:r w:rsidRPr="00F52D1E">
        <w:rPr>
          <w:rFonts w:cs="Times New Roman"/>
          <w:lang w:val="fr-CA"/>
        </w:rPr>
        <w:t xml:space="preserve">, par. 28. En ce sens, les droits ancestraux ou issus de traités sont une institution </w:t>
      </w:r>
      <w:r w:rsidRPr="00F52D1E">
        <w:rPr>
          <w:rFonts w:cs="Times New Roman"/>
          <w:i/>
          <w:lang w:val="fr-CA"/>
        </w:rPr>
        <w:t>étrangère</w:t>
      </w:r>
      <w:r w:rsidRPr="00F52D1E">
        <w:rPr>
          <w:rFonts w:cs="Times New Roman"/>
          <w:lang w:val="fr-CA"/>
        </w:rPr>
        <w:t xml:space="preserve"> au droit civil : K. Anker, « Translating </w:t>
      </w:r>
      <w:r w:rsidRPr="00F52D1E">
        <w:rPr>
          <w:rFonts w:cs="Times New Roman"/>
          <w:i/>
          <w:lang w:val="fr-CA"/>
        </w:rPr>
        <w:t>Sui Generis</w:t>
      </w:r>
      <w:r w:rsidRPr="00F52D1E">
        <w:rPr>
          <w:rFonts w:cs="Times New Roman"/>
          <w:lang w:val="fr-CA"/>
        </w:rPr>
        <w:t xml:space="preserve"> Aboriginal Rights in the Civilian Imagination », dans A. Popovici, L. Smith et R. Tremblay, </w:t>
      </w:r>
      <w:proofErr w:type="gramStart"/>
      <w:r w:rsidRPr="00F52D1E">
        <w:rPr>
          <w:rFonts w:cs="Times New Roman"/>
          <w:lang w:val="fr-CA"/>
        </w:rPr>
        <w:t>dir.,</w:t>
      </w:r>
      <w:proofErr w:type="gramEnd"/>
      <w:r w:rsidRPr="00F52D1E">
        <w:rPr>
          <w:rFonts w:cs="Times New Roman"/>
          <w:lang w:val="fr-CA"/>
        </w:rPr>
        <w:t xml:space="preserve"> </w:t>
      </w:r>
      <w:r w:rsidRPr="00F52D1E">
        <w:rPr>
          <w:rFonts w:cs="Times New Roman"/>
          <w:i/>
          <w:lang w:val="fr-CA"/>
        </w:rPr>
        <w:t>Les intraduisibles en droit civil</w:t>
      </w:r>
      <w:r w:rsidRPr="00F52D1E">
        <w:rPr>
          <w:rFonts w:cs="Times New Roman"/>
          <w:lang w:val="fr-CA"/>
        </w:rPr>
        <w:t xml:space="preserve"> (2014), p. 4.</w:t>
      </w:r>
    </w:p>
    <w:p w:rsidR="00CF3116" w:rsidRPr="00F52D1E" w:rsidRDefault="00CF3116" w:rsidP="00CF3116">
      <w:pPr>
        <w:pStyle w:val="ParaNoNdepar-AltN"/>
        <w:rPr>
          <w:rFonts w:cs="Times New Roman"/>
          <w:lang w:val="fr-CA"/>
        </w:rPr>
      </w:pPr>
      <w:r w:rsidRPr="00F52D1E">
        <w:rPr>
          <w:rFonts w:cs="Times New Roman"/>
          <w:lang w:val="fr-CA"/>
        </w:rPr>
        <w:t xml:space="preserve">Comment résoudre un tel problème de classification? À notre avis, il s’agit de « considérer nos règles comme les espèces d’un genre qui peut en comprendre d’autres » : H. Batiffol et P. Lagarde, </w:t>
      </w:r>
      <w:r w:rsidRPr="00F52D1E">
        <w:rPr>
          <w:rFonts w:cs="Times New Roman"/>
          <w:i/>
          <w:lang w:val="fr-CA"/>
        </w:rPr>
        <w:t>Droit international privé</w:t>
      </w:r>
      <w:r w:rsidRPr="00F52D1E">
        <w:rPr>
          <w:rFonts w:cs="Times New Roman"/>
          <w:lang w:val="fr-CA"/>
        </w:rPr>
        <w:t xml:space="preserve"> (7</w:t>
      </w:r>
      <w:r w:rsidRPr="00F52D1E">
        <w:rPr>
          <w:rFonts w:cs="Times New Roman"/>
          <w:vertAlign w:val="superscript"/>
          <w:lang w:val="fr-CA"/>
        </w:rPr>
        <w:t>e</w:t>
      </w:r>
      <w:r w:rsidRPr="00F52D1E">
        <w:rPr>
          <w:rFonts w:cs="Times New Roman"/>
          <w:lang w:val="fr-CA"/>
        </w:rPr>
        <w:t xml:space="preserve"> éd. 1981), t. 1, n° 297. Autrement dit, « les qualifications qui existent en droit civil interne ne doivent pas nécessairement être adoptées en droit international privé » : H. P. Glenn, « Droit international privé », dans </w:t>
      </w:r>
      <w:r w:rsidRPr="00F52D1E">
        <w:rPr>
          <w:rFonts w:cs="Times New Roman"/>
          <w:i/>
          <w:lang w:val="fr-CA"/>
        </w:rPr>
        <w:t>La réforme du Code civil</w:t>
      </w:r>
      <w:r w:rsidRPr="00F52D1E">
        <w:rPr>
          <w:rFonts w:cs="Times New Roman"/>
          <w:lang w:val="fr-CA"/>
        </w:rPr>
        <w:t xml:space="preserve">, t. 3, </w:t>
      </w:r>
      <w:r w:rsidRPr="00F52D1E">
        <w:rPr>
          <w:rFonts w:cs="Times New Roman"/>
          <w:i/>
          <w:lang w:val="fr-CA"/>
        </w:rPr>
        <w:t xml:space="preserve">Priorités et hypothèques, </w:t>
      </w:r>
      <w:r w:rsidRPr="00F52D1E">
        <w:rPr>
          <w:rFonts w:cs="Times New Roman"/>
          <w:i/>
          <w:lang w:val="fr-CA"/>
        </w:rPr>
        <w:lastRenderedPageBreak/>
        <w:t>preuve et prescription, publicité des droits, droit international privé, dispositions transitoires</w:t>
      </w:r>
      <w:r w:rsidRPr="00F52D1E">
        <w:rPr>
          <w:rFonts w:cs="Times New Roman"/>
          <w:lang w:val="fr-CA"/>
        </w:rPr>
        <w:t xml:space="preserve"> (1993), 669, p. 676. Lorsqu’une institution interne « ne convien[t] pas à une institution du droit étranger, trop différente de celle qui y correspond dans le for, ou même totalement inconnue » (Goldstein et Groffier (1998), n</w:t>
      </w:r>
      <w:r w:rsidRPr="00F52D1E">
        <w:rPr>
          <w:rFonts w:cs="Times New Roman"/>
          <w:vertAlign w:val="superscript"/>
          <w:lang w:val="fr-CA"/>
        </w:rPr>
        <w:t>o</w:t>
      </w:r>
      <w:r w:rsidRPr="00F52D1E">
        <w:rPr>
          <w:rFonts w:cs="Times New Roman"/>
          <w:lang w:val="fr-CA"/>
        </w:rPr>
        <w:t xml:space="preserve"> 61), il suffit alors que l’institution </w:t>
      </w:r>
      <w:r w:rsidRPr="00F52D1E">
        <w:rPr>
          <w:rFonts w:cs="Times New Roman"/>
          <w:i/>
          <w:lang w:val="fr-CA"/>
        </w:rPr>
        <w:t>étrangère</w:t>
      </w:r>
      <w:r w:rsidRPr="00F52D1E">
        <w:rPr>
          <w:rFonts w:cs="Times New Roman"/>
          <w:lang w:val="fr-CA"/>
        </w:rPr>
        <w:t xml:space="preserve"> soit </w:t>
      </w:r>
      <w:r w:rsidRPr="00F52D1E">
        <w:rPr>
          <w:rFonts w:cs="Times New Roman"/>
          <w:i/>
          <w:lang w:val="fr-CA"/>
        </w:rPr>
        <w:t>analogue</w:t>
      </w:r>
      <w:r w:rsidRPr="00F52D1E">
        <w:rPr>
          <w:rFonts w:cs="Times New Roman"/>
          <w:lang w:val="fr-CA"/>
        </w:rPr>
        <w:t xml:space="preserve"> ou </w:t>
      </w:r>
      <w:r w:rsidRPr="00F52D1E">
        <w:rPr>
          <w:rFonts w:cs="Times New Roman"/>
          <w:i/>
          <w:lang w:val="fr-CA"/>
        </w:rPr>
        <w:t>ressemble</w:t>
      </w:r>
      <w:r w:rsidR="009E2F25">
        <w:rPr>
          <w:rFonts w:cs="Times New Roman"/>
          <w:lang w:val="fr-CA"/>
        </w:rPr>
        <w:t xml:space="preserve"> à une institution interne :</w:t>
      </w:r>
    </w:p>
    <w:p w:rsidR="00CF3116" w:rsidRPr="00F52D1E" w:rsidRDefault="00CF3116" w:rsidP="00CF3116">
      <w:pPr>
        <w:pStyle w:val="Citation-AltC"/>
        <w:ind w:firstLine="274"/>
        <w:rPr>
          <w:lang w:val="fr-CA"/>
        </w:rPr>
      </w:pPr>
      <w:r w:rsidRPr="00F52D1E">
        <w:rPr>
          <w:lang w:val="fr-CA"/>
        </w:rPr>
        <w:t xml:space="preserve">Qualifier la question légale signifie donc retrouver dans la prétention de l’espèce (ou la proposition « mineure » du syllogisme) le type </w:t>
      </w:r>
      <w:r w:rsidRPr="00F52D1E">
        <w:rPr>
          <w:i/>
          <w:lang w:val="fr-CA"/>
        </w:rPr>
        <w:t>abstrait</w:t>
      </w:r>
      <w:r w:rsidRPr="00F52D1E">
        <w:rPr>
          <w:lang w:val="fr-CA"/>
        </w:rPr>
        <w:t xml:space="preserve"> de questions formant la catégorie de rattachement de la règle de conflit (ou la proposition « majeure » du syllogisme). </w:t>
      </w:r>
      <w:r w:rsidRPr="00F52D1E">
        <w:rPr>
          <w:u w:val="single"/>
          <w:lang w:val="fr-CA"/>
        </w:rPr>
        <w:t>Cette abstraction dans la formulation d’une catégorie est nécessaire pour pouvoir y englober un grand nombre de prétentions, fondées sur n’importe quel système juridique, ayant pourtant une « nature » — ou plus exactement une fonction — analogue</w:t>
      </w:r>
      <w:r w:rsidRPr="00F52D1E">
        <w:rPr>
          <w:lang w:val="fr-CA"/>
        </w:rPr>
        <w:t xml:space="preserve">, que l’auteur de la règle de conflit considère pour cette raison devoir être jointes à un même facteur de rattachement. C’est pourquoi </w:t>
      </w:r>
      <w:r w:rsidRPr="00F52D1E">
        <w:rPr>
          <w:u w:val="single"/>
          <w:lang w:val="fr-CA"/>
        </w:rPr>
        <w:t xml:space="preserve">les expressions utilisées pour définir ces catégories de rattachement — « régime matrimonial »; « mariage »; « effets du mariage », etc. — proviennent du droit interne, mais ne font que leur </w:t>
      </w:r>
      <w:r w:rsidRPr="00F52D1E">
        <w:rPr>
          <w:i/>
          <w:u w:val="single"/>
          <w:lang w:val="fr-CA"/>
        </w:rPr>
        <w:t>ressembler</w:t>
      </w:r>
      <w:r w:rsidRPr="00C05B8D">
        <w:rPr>
          <w:lang w:val="fr-CA"/>
        </w:rPr>
        <w:t>.</w:t>
      </w:r>
      <w:r w:rsidRPr="00F52D1E">
        <w:rPr>
          <w:lang w:val="fr-CA"/>
        </w:rPr>
        <w:t xml:space="preserve"> Elles décrivent en réalité des types analogues de relations internes auxquelles normalement certaines règles du for s’appliquent, mais qui, en l’espèce, pourraient aussi bien être soumises à des règles étrangères. </w:t>
      </w:r>
      <w:r w:rsidRPr="00F52D1E">
        <w:rPr>
          <w:u w:val="single"/>
          <w:lang w:val="fr-CA"/>
        </w:rPr>
        <w:t>En raison du but des règles de conflit, on n’est donc pas tenu de respecter les définitions internes de notions utilisées pour définir les catégories de rattachement du droit international privé.</w:t>
      </w:r>
      <w:r w:rsidRPr="00F52D1E">
        <w:rPr>
          <w:lang w:val="fr-CA"/>
        </w:rPr>
        <w:t xml:space="preserve"> [Nous soulignons; note en bas de page omise; n</w:t>
      </w:r>
      <w:r w:rsidRPr="00F52D1E">
        <w:rPr>
          <w:vertAlign w:val="superscript"/>
          <w:lang w:val="fr-CA"/>
        </w:rPr>
        <w:t>o</w:t>
      </w:r>
      <w:r w:rsidRPr="00F52D1E">
        <w:rPr>
          <w:lang w:val="fr-CA"/>
        </w:rPr>
        <w:t xml:space="preserve"> 59.]</w:t>
      </w:r>
    </w:p>
    <w:p w:rsidR="00CF3116" w:rsidRPr="00F52D1E" w:rsidRDefault="00CF3116" w:rsidP="00CF3116">
      <w:pPr>
        <w:pStyle w:val="ParaNoNdepar-AltN"/>
        <w:rPr>
          <w:rFonts w:cs="Times New Roman"/>
          <w:lang w:val="fr-CA"/>
        </w:rPr>
      </w:pPr>
      <w:r w:rsidRPr="00F52D1E">
        <w:rPr>
          <w:rFonts w:cs="Times New Roman"/>
          <w:lang w:val="fr-CA"/>
        </w:rPr>
        <w:t xml:space="preserve">La question qui se pose en l’espèce est donc la suivante : à quelle institution interne du droit civil le titre ancestral et les autres droits ancestraux ou issus de traités </w:t>
      </w:r>
      <w:r w:rsidRPr="00F52D1E">
        <w:rPr>
          <w:rFonts w:cs="Times New Roman"/>
          <w:i/>
          <w:lang w:val="fr-CA"/>
        </w:rPr>
        <w:t>ressemblent</w:t>
      </w:r>
      <w:r w:rsidRPr="00F52D1E">
        <w:rPr>
          <w:rFonts w:cs="Times New Roman"/>
          <w:lang w:val="fr-CA"/>
        </w:rPr>
        <w:noBreakHyphen/>
        <w:t>ils ou sont</w:t>
      </w:r>
      <w:r w:rsidRPr="00F52D1E">
        <w:rPr>
          <w:rFonts w:cs="Times New Roman"/>
          <w:lang w:val="fr-CA"/>
        </w:rPr>
        <w:noBreakHyphen/>
        <w:t xml:space="preserve">ils </w:t>
      </w:r>
      <w:r w:rsidRPr="00F52D1E">
        <w:rPr>
          <w:rFonts w:cs="Times New Roman"/>
          <w:i/>
          <w:lang w:val="fr-CA"/>
        </w:rPr>
        <w:t>analogues</w:t>
      </w:r>
      <w:r w:rsidRPr="00F52D1E">
        <w:rPr>
          <w:rFonts w:cs="Times New Roman"/>
          <w:lang w:val="fr-CA"/>
        </w:rPr>
        <w:t>? Pour y répondre et « savoir si l’objet à classer entre ou non dans telle catégorie », « [e]ncore faut</w:t>
      </w:r>
      <w:r w:rsidRPr="00F52D1E">
        <w:rPr>
          <w:rFonts w:cs="Times New Roman"/>
          <w:lang w:val="fr-CA"/>
        </w:rPr>
        <w:noBreakHyphen/>
        <w:t xml:space="preserve">il [. . .] analyser ses éléments [et] connaître sa structure pour pouvoir en juger » : Batiffol et Lagarde, n° 294. Autrement dit, pour qualifier le volet de l’action des Innus à l’égard duquel le PGTNL conteste la compétence des autorités québécoises — soit le volet qui vise à faire reconnaître et à protéger un titre ancestral et d’autres droits ancestraux ou issus de traités — il est </w:t>
      </w:r>
      <w:r w:rsidRPr="00F52D1E">
        <w:rPr>
          <w:rFonts w:cs="Times New Roman"/>
          <w:lang w:val="fr-CA"/>
        </w:rPr>
        <w:lastRenderedPageBreak/>
        <w:t xml:space="preserve">nécessaire d’étudier plus en détail la nature de ce titre ancestral et de ces autres droits ancestraux ou issus de traités. À cette fin, la common law fédérale peut évidemment être prise en considération : art. 3078 al. 2 </w:t>
      </w:r>
      <w:r w:rsidRPr="00F52D1E">
        <w:rPr>
          <w:rFonts w:cs="Times New Roman"/>
          <w:i/>
          <w:lang w:val="fr-CA"/>
        </w:rPr>
        <w:t>C.c.Q.</w:t>
      </w:r>
    </w:p>
    <w:p w:rsidR="00CF3116" w:rsidRPr="00F52D1E" w:rsidRDefault="00CF3116" w:rsidP="00CF3116">
      <w:pPr>
        <w:pStyle w:val="ParaNoNdepar-AltN"/>
        <w:rPr>
          <w:rFonts w:cs="Times New Roman"/>
          <w:lang w:val="fr-CA"/>
        </w:rPr>
      </w:pPr>
      <w:r w:rsidRPr="00F52D1E">
        <w:rPr>
          <w:rFonts w:cs="Times New Roman"/>
          <w:lang w:val="fr-CA"/>
        </w:rPr>
        <w:t xml:space="preserve">En tout respect, nos collègues se méprennent lorsqu’ils caractérisent la présente démarche « [d]’approche </w:t>
      </w:r>
      <w:proofErr w:type="gramStart"/>
      <w:r w:rsidRPr="00F52D1E">
        <w:rPr>
          <w:rFonts w:cs="Times New Roman"/>
          <w:lang w:val="fr-CA"/>
        </w:rPr>
        <w:t>fragment[</w:t>
      </w:r>
      <w:proofErr w:type="gramEnd"/>
      <w:r w:rsidRPr="00F52D1E">
        <w:rPr>
          <w:rFonts w:cs="Times New Roman"/>
          <w:lang w:val="fr-CA"/>
        </w:rPr>
        <w:t xml:space="preserve">ée] » : par. 36. Il ne s’agit pas de dénaturer les droits des peuples autochtones, bien au contraire; nous reconnaissons comme eux le caractère </w:t>
      </w:r>
      <w:r w:rsidRPr="00F52D1E">
        <w:rPr>
          <w:rFonts w:cs="Times New Roman"/>
          <w:i/>
          <w:lang w:val="fr-CA"/>
        </w:rPr>
        <w:t>sui generis</w:t>
      </w:r>
      <w:r w:rsidRPr="00F52D1E">
        <w:rPr>
          <w:rFonts w:cs="Times New Roman"/>
          <w:lang w:val="fr-CA"/>
        </w:rPr>
        <w:t xml:space="preserve"> des droits ancestraux et ne prétendons en rien qu’il s’agirait plutôt d’un « amalgame de droits réels et de droits personnels », comme ils le laissent entendre : par. 35. Nous reconnaissons plutôt qu’il est de la nature du droit international privé d’être confronté à des institutions qui lui sont étrangères. C’est pourquoi ces règles doivent être envisagées avec une certaine souplesse, de manière à inclure des institutions qui, quoique juridiquement distinctes, demeurent analogues aux catégorie</w:t>
      </w:r>
      <w:r w:rsidR="009E2F25">
        <w:rPr>
          <w:rFonts w:cs="Times New Roman"/>
          <w:lang w:val="fr-CA"/>
        </w:rPr>
        <w:t>s reconnues par le droit civil.</w:t>
      </w:r>
    </w:p>
    <w:p w:rsidR="00CF3116" w:rsidRPr="0019745F" w:rsidRDefault="00CF3116" w:rsidP="0019745F">
      <w:pPr>
        <w:pStyle w:val="Title4LevelTitre4Niveau"/>
        <w:tabs>
          <w:tab w:val="clear" w:pos="1152"/>
        </w:tabs>
        <w:jc w:val="both"/>
        <w:rPr>
          <w:rFonts w:cs="Times New Roman"/>
          <w:lang w:val="fr-CA"/>
        </w:rPr>
      </w:pPr>
      <w:r w:rsidRPr="0019745F">
        <w:rPr>
          <w:rFonts w:cs="Times New Roman"/>
          <w:lang w:val="fr-CA"/>
        </w:rPr>
        <w:t>Qualification du titre ancestral et des autres droits ancestraux ou issus de traités aux fi</w:t>
      </w:r>
      <w:r w:rsidR="009E2F25" w:rsidRPr="0019745F">
        <w:rPr>
          <w:rFonts w:cs="Times New Roman"/>
          <w:lang w:val="fr-CA"/>
        </w:rPr>
        <w:t>ns du droit international privé</w:t>
      </w:r>
    </w:p>
    <w:p w:rsidR="00CF3116" w:rsidRPr="00F52D1E" w:rsidRDefault="00CF3116" w:rsidP="00CF3116">
      <w:pPr>
        <w:pStyle w:val="ParaNoNdepar-AltN"/>
        <w:rPr>
          <w:rFonts w:cs="Times New Roman"/>
          <w:lang w:val="fr-CA"/>
        </w:rPr>
      </w:pPr>
      <w:r w:rsidRPr="00F52D1E">
        <w:rPr>
          <w:rFonts w:cs="Times New Roman"/>
          <w:lang w:val="fr-CA"/>
        </w:rPr>
        <w:t xml:space="preserve">En droit civil, les droits réels sont </w:t>
      </w:r>
      <w:r w:rsidR="00C05B8D">
        <w:rPr>
          <w:rFonts w:cs="Times New Roman"/>
          <w:lang w:val="fr-CA"/>
        </w:rPr>
        <w:t>(</w:t>
      </w:r>
      <w:r w:rsidRPr="00F52D1E">
        <w:rPr>
          <w:rFonts w:cs="Times New Roman"/>
          <w:lang w:val="fr-CA"/>
        </w:rPr>
        <w:t xml:space="preserve">1) des droits </w:t>
      </w:r>
      <w:r w:rsidRPr="00F52D1E">
        <w:rPr>
          <w:rFonts w:cs="Times New Roman"/>
          <w:i/>
          <w:lang w:val="fr-CA"/>
        </w:rPr>
        <w:t>sur</w:t>
      </w:r>
      <w:r w:rsidRPr="00F52D1E">
        <w:rPr>
          <w:rFonts w:cs="Times New Roman"/>
          <w:lang w:val="fr-CA"/>
        </w:rPr>
        <w:t xml:space="preserve"> un bien, et </w:t>
      </w:r>
      <w:r w:rsidR="00C05B8D">
        <w:rPr>
          <w:rFonts w:cs="Times New Roman"/>
          <w:lang w:val="fr-CA"/>
        </w:rPr>
        <w:t>(</w:t>
      </w:r>
      <w:r w:rsidRPr="00F52D1E">
        <w:rPr>
          <w:rFonts w:cs="Times New Roman"/>
          <w:lang w:val="fr-CA"/>
        </w:rPr>
        <w:t xml:space="preserve">2) de ce fait, opposables </w:t>
      </w:r>
      <w:r w:rsidRPr="00F52D1E">
        <w:rPr>
          <w:rFonts w:cs="Times New Roman"/>
          <w:i/>
          <w:lang w:val="fr-CA"/>
        </w:rPr>
        <w:t>erga omnes</w:t>
      </w:r>
      <w:r w:rsidRPr="00F52D1E">
        <w:rPr>
          <w:rFonts w:cs="Times New Roman"/>
          <w:lang w:val="fr-CA"/>
        </w:rPr>
        <w:t xml:space="preserve"> —</w:t>
      </w:r>
      <w:r w:rsidR="00C05B8D">
        <w:rPr>
          <w:rFonts w:cs="Times New Roman"/>
          <w:lang w:val="fr-CA"/>
        </w:rPr>
        <w:t xml:space="preserve"> c’est</w:t>
      </w:r>
      <w:r w:rsidR="00C05B8D">
        <w:rPr>
          <w:rFonts w:cs="Times New Roman"/>
          <w:lang w:val="fr-CA"/>
        </w:rPr>
        <w:noBreakHyphen/>
        <w:t>à</w:t>
      </w:r>
      <w:r w:rsidR="00C05B8D">
        <w:rPr>
          <w:rFonts w:cs="Times New Roman"/>
          <w:lang w:val="fr-CA"/>
        </w:rPr>
        <w:noBreakHyphen/>
        <w:t>dire à tous : « L</w:t>
      </w:r>
      <w:r w:rsidRPr="00F52D1E">
        <w:rPr>
          <w:rFonts w:cs="Times New Roman"/>
          <w:lang w:val="fr-CA"/>
        </w:rPr>
        <w:t>es droits réels sont ceux qui, créant un rapport immédiat et direct entre une chose et la personne au pouvoir de laquelle elle se trouve soumise, d’une manière plus ou moins complète, sont par cela même susceptibles d’être exercés, non pas seulement contre telle personne déterminée, mais envers et contre tous » (</w:t>
      </w:r>
      <w:r w:rsidRPr="00F52D1E">
        <w:rPr>
          <w:rFonts w:cs="Times New Roman"/>
          <w:i/>
          <w:lang w:val="fr-CA"/>
        </w:rPr>
        <w:t>Domaine de l’Isle aux Oyes Inc.</w:t>
      </w:r>
      <w:r w:rsidRPr="00F52D1E">
        <w:rPr>
          <w:rFonts w:cs="Times New Roman"/>
          <w:lang w:val="fr-CA"/>
        </w:rPr>
        <w:t xml:space="preserve">, p. 173, citant C. Aubry et C. Rau, </w:t>
      </w:r>
      <w:r w:rsidRPr="00F52D1E">
        <w:rPr>
          <w:rFonts w:cs="Times New Roman"/>
          <w:i/>
          <w:lang w:val="fr-CA"/>
        </w:rPr>
        <w:t>Cours de droit civil français : D’après la méthode de Zachariae</w:t>
      </w:r>
      <w:r w:rsidRPr="00F52D1E">
        <w:rPr>
          <w:rFonts w:cs="Times New Roman"/>
          <w:lang w:val="fr-CA"/>
        </w:rPr>
        <w:t xml:space="preserve"> (5</w:t>
      </w:r>
      <w:r w:rsidRPr="00F52D1E">
        <w:rPr>
          <w:rFonts w:cs="Times New Roman"/>
          <w:vertAlign w:val="superscript"/>
          <w:lang w:val="fr-CA"/>
        </w:rPr>
        <w:t>e</w:t>
      </w:r>
      <w:r w:rsidRPr="00F52D1E">
        <w:rPr>
          <w:rFonts w:cs="Times New Roman"/>
          <w:lang w:val="fr-CA"/>
        </w:rPr>
        <w:t xml:space="preserve"> éd. 1897), t. 2, p. 72; voir aussi G. Cornu, dir., </w:t>
      </w:r>
      <w:r w:rsidRPr="00F52D1E">
        <w:rPr>
          <w:rFonts w:cs="Times New Roman"/>
          <w:i/>
          <w:lang w:val="fr-CA"/>
        </w:rPr>
        <w:t>Vocabulaire juridique</w:t>
      </w:r>
      <w:r w:rsidRPr="00F52D1E">
        <w:rPr>
          <w:rFonts w:cs="Times New Roman"/>
          <w:lang w:val="fr-CA"/>
        </w:rPr>
        <w:t xml:space="preserve"> (12</w:t>
      </w:r>
      <w:r w:rsidRPr="00F52D1E">
        <w:rPr>
          <w:rFonts w:cs="Times New Roman"/>
          <w:vertAlign w:val="superscript"/>
          <w:lang w:val="fr-CA"/>
        </w:rPr>
        <w:t>e</w:t>
      </w:r>
      <w:r w:rsidRPr="00F52D1E">
        <w:rPr>
          <w:rFonts w:cs="Times New Roman"/>
          <w:lang w:val="fr-CA"/>
        </w:rPr>
        <w:t xml:space="preserve"> éd. 2018), p. 873, </w:t>
      </w:r>
      <w:r w:rsidRPr="00F52D1E">
        <w:rPr>
          <w:rFonts w:cs="Times New Roman"/>
          <w:lang w:val="fr-CA"/>
        </w:rPr>
        <w:lastRenderedPageBreak/>
        <w:t xml:space="preserve">« droit réel »; Reid, p. 233, « droit réel »; </w:t>
      </w:r>
      <w:r w:rsidRPr="00F52D1E">
        <w:rPr>
          <w:rFonts w:cs="Times New Roman"/>
          <w:i/>
          <w:lang w:val="fr-CA"/>
        </w:rPr>
        <w:t>Dictionnaire de droit privé et lexiques bilingues : Les biens</w:t>
      </w:r>
      <w:r w:rsidRPr="00F52D1E">
        <w:rPr>
          <w:rFonts w:cs="Times New Roman"/>
          <w:lang w:val="fr-CA"/>
        </w:rPr>
        <w:t xml:space="preserve"> (2012), p. 81, « droit réel »; P.</w:t>
      </w:r>
      <w:r w:rsidRPr="00F52D1E">
        <w:rPr>
          <w:rFonts w:cs="Times New Roman"/>
          <w:lang w:val="fr-CA"/>
        </w:rPr>
        <w:noBreakHyphen/>
        <w:t xml:space="preserve">C. Lafond, </w:t>
      </w:r>
      <w:r w:rsidRPr="00F52D1E">
        <w:rPr>
          <w:rFonts w:cs="Times New Roman"/>
          <w:i/>
          <w:lang w:val="fr-CA"/>
        </w:rPr>
        <w:t>Précis de droit des biens</w:t>
      </w:r>
      <w:r w:rsidRPr="00F52D1E">
        <w:rPr>
          <w:rFonts w:cs="Times New Roman"/>
          <w:lang w:val="fr-CA"/>
        </w:rPr>
        <w:t xml:space="preserve"> (2</w:t>
      </w:r>
      <w:r w:rsidRPr="00F52D1E">
        <w:rPr>
          <w:rFonts w:cs="Times New Roman"/>
          <w:vertAlign w:val="superscript"/>
          <w:lang w:val="fr-CA"/>
        </w:rPr>
        <w:t>e</w:t>
      </w:r>
      <w:r w:rsidRPr="00F52D1E">
        <w:rPr>
          <w:rFonts w:cs="Times New Roman"/>
          <w:lang w:val="fr-CA"/>
        </w:rPr>
        <w:t xml:space="preserve"> éd. 2007), p. 173; D.</w:t>
      </w:r>
      <w:r w:rsidRPr="00F52D1E">
        <w:rPr>
          <w:rFonts w:cs="Times New Roman"/>
          <w:lang w:val="fr-CA"/>
        </w:rPr>
        <w:noBreakHyphen/>
        <w:t xml:space="preserve">C. Lamontagne, </w:t>
      </w:r>
      <w:r w:rsidRPr="00F52D1E">
        <w:rPr>
          <w:rFonts w:cs="Times New Roman"/>
          <w:i/>
          <w:lang w:val="fr-CA"/>
        </w:rPr>
        <w:t>Biens et propriété</w:t>
      </w:r>
      <w:r w:rsidRPr="00F52D1E">
        <w:rPr>
          <w:rFonts w:cs="Times New Roman"/>
          <w:lang w:val="fr-CA"/>
        </w:rPr>
        <w:t xml:space="preserve"> (8</w:t>
      </w:r>
      <w:r w:rsidRPr="00F52D1E">
        <w:rPr>
          <w:rFonts w:cs="Times New Roman"/>
          <w:vertAlign w:val="superscript"/>
          <w:lang w:val="fr-CA"/>
        </w:rPr>
        <w:t>e</w:t>
      </w:r>
      <w:r w:rsidRPr="00F52D1E">
        <w:rPr>
          <w:rFonts w:cs="Times New Roman"/>
          <w:lang w:val="fr-CA"/>
        </w:rPr>
        <w:t xml:space="preserve"> éd. 2018), p. 65; S. Normand, </w:t>
      </w:r>
      <w:r w:rsidRPr="00F52D1E">
        <w:rPr>
          <w:rFonts w:cs="Times New Roman"/>
          <w:i/>
          <w:lang w:val="fr-CA"/>
        </w:rPr>
        <w:t>Introduction au droit des biens</w:t>
      </w:r>
      <w:r w:rsidRPr="00F52D1E">
        <w:rPr>
          <w:rFonts w:cs="Times New Roman"/>
          <w:lang w:val="fr-CA"/>
        </w:rPr>
        <w:t xml:space="preserve"> (2</w:t>
      </w:r>
      <w:r w:rsidRPr="00F52D1E">
        <w:rPr>
          <w:rFonts w:cs="Times New Roman"/>
          <w:vertAlign w:val="superscript"/>
          <w:lang w:val="fr-CA"/>
        </w:rPr>
        <w:t>e</w:t>
      </w:r>
      <w:r w:rsidRPr="00F52D1E">
        <w:rPr>
          <w:rFonts w:cs="Times New Roman"/>
          <w:lang w:val="fr-CA"/>
        </w:rPr>
        <w:t xml:space="preserve"> éd. 2014), p. 38. Les auteurs A. Montpetit et G. Taillefer définissent le droit réel comme « une faculté opposable à tout le monde, et qui donne à une personne un pouvoir juridique direct et immédiat sur une chose déterminée » : </w:t>
      </w:r>
      <w:r w:rsidRPr="00F52D1E">
        <w:rPr>
          <w:rFonts w:cs="Times New Roman"/>
          <w:i/>
          <w:lang w:val="fr-CA"/>
        </w:rPr>
        <w:t xml:space="preserve">Traité de droit civil du Québec, </w:t>
      </w:r>
      <w:r w:rsidRPr="00F52D1E">
        <w:rPr>
          <w:rFonts w:cs="Times New Roman"/>
          <w:lang w:val="fr-CA"/>
        </w:rPr>
        <w:t>t. 3,</w:t>
      </w:r>
      <w:r w:rsidRPr="00F52D1E">
        <w:rPr>
          <w:rFonts w:cs="Times New Roman"/>
          <w:i/>
          <w:lang w:val="fr-CA"/>
        </w:rPr>
        <w:t xml:space="preserve"> Les biens, la propriété, l’usufruit, l’usage, l’habitation, les services réelles, l’emphytéose </w:t>
      </w:r>
      <w:r w:rsidRPr="00F52D1E">
        <w:rPr>
          <w:rFonts w:cs="Times New Roman"/>
          <w:lang w:val="fr-CA"/>
        </w:rPr>
        <w:t>(1945), p. 17.</w:t>
      </w:r>
      <w:r w:rsidRPr="00F52D1E">
        <w:rPr>
          <w:rFonts w:cs="Times New Roman"/>
          <w:i/>
          <w:lang w:val="fr-CA"/>
        </w:rPr>
        <w:t xml:space="preserve"> </w:t>
      </w:r>
      <w:r w:rsidRPr="00F52D1E">
        <w:rPr>
          <w:rFonts w:cs="Times New Roman"/>
          <w:lang w:val="fr-CA"/>
        </w:rPr>
        <w:t xml:space="preserve">Les droits réels principaux sont le droit de propriété ainsi que ses démembrements : art. 947 et 1119 </w:t>
      </w:r>
      <w:r w:rsidRPr="00F52D1E">
        <w:rPr>
          <w:rFonts w:cs="Times New Roman"/>
          <w:i/>
          <w:lang w:val="fr-CA"/>
        </w:rPr>
        <w:t>C.c.Q.</w:t>
      </w:r>
    </w:p>
    <w:p w:rsidR="00CF3116" w:rsidRPr="00F52D1E" w:rsidRDefault="00CF3116" w:rsidP="00CF3116">
      <w:pPr>
        <w:pStyle w:val="ParaNoNdepar-AltN"/>
        <w:rPr>
          <w:rFonts w:cs="Times New Roman"/>
          <w:lang w:val="fr-CA"/>
        </w:rPr>
      </w:pPr>
      <w:r w:rsidRPr="00F52D1E">
        <w:rPr>
          <w:rFonts w:cs="Times New Roman"/>
          <w:lang w:val="fr-CA"/>
        </w:rPr>
        <w:t>À notre avis, le titre ancestral et les autres droits ancestraux ou issus de traités sont des « droits réels » aux fins du droit international privé. C’est</w:t>
      </w:r>
      <w:r w:rsidRPr="00F52D1E">
        <w:rPr>
          <w:rFonts w:cs="Times New Roman"/>
          <w:lang w:val="fr-CA"/>
        </w:rPr>
        <w:noBreakHyphen/>
        <w:t>à</w:t>
      </w:r>
      <w:r w:rsidRPr="00F52D1E">
        <w:rPr>
          <w:rFonts w:cs="Times New Roman"/>
          <w:lang w:val="fr-CA"/>
        </w:rPr>
        <w:noBreakHyphen/>
        <w:t xml:space="preserve">dire qu’ils </w:t>
      </w:r>
      <w:r w:rsidRPr="00F52D1E">
        <w:rPr>
          <w:rFonts w:cs="Times New Roman"/>
          <w:i/>
          <w:lang w:val="fr-CA"/>
        </w:rPr>
        <w:t>ressemblent</w:t>
      </w:r>
      <w:r w:rsidRPr="00F52D1E">
        <w:rPr>
          <w:rFonts w:cs="Times New Roman"/>
          <w:lang w:val="fr-CA"/>
        </w:rPr>
        <w:t xml:space="preserve"> ou sont à tout le moins </w:t>
      </w:r>
      <w:r w:rsidRPr="00F52D1E">
        <w:rPr>
          <w:rFonts w:cs="Times New Roman"/>
          <w:i/>
          <w:lang w:val="fr-CA"/>
        </w:rPr>
        <w:t>analogues</w:t>
      </w:r>
      <w:r w:rsidRPr="00F52D1E">
        <w:rPr>
          <w:rFonts w:cs="Times New Roman"/>
          <w:lang w:val="fr-CA"/>
        </w:rPr>
        <w:t xml:space="preserve"> à l’institution interne</w:t>
      </w:r>
      <w:r w:rsidR="009E2F25">
        <w:rPr>
          <w:rFonts w:cs="Times New Roman"/>
          <w:lang w:val="fr-CA"/>
        </w:rPr>
        <w:t xml:space="preserve"> des droits réels.</w:t>
      </w:r>
    </w:p>
    <w:p w:rsidR="00CF3116" w:rsidRPr="00F52D1E" w:rsidRDefault="00CF3116" w:rsidP="00CF3116">
      <w:pPr>
        <w:pStyle w:val="Title5LevelTitre5Niveau"/>
        <w:tabs>
          <w:tab w:val="num" w:pos="1080"/>
        </w:tabs>
        <w:ind w:left="1080" w:hanging="450"/>
        <w:rPr>
          <w:rFonts w:cs="Times New Roman"/>
          <w:lang w:val="fr-CA"/>
        </w:rPr>
      </w:pPr>
      <w:r w:rsidRPr="00F52D1E">
        <w:rPr>
          <w:rFonts w:cs="Times New Roman"/>
          <w:lang w:val="fr-CA"/>
        </w:rPr>
        <w:t>Titre ancestral</w:t>
      </w:r>
    </w:p>
    <w:p w:rsidR="00CF3116" w:rsidRPr="00F52D1E" w:rsidRDefault="00CF3116" w:rsidP="00CF3116">
      <w:pPr>
        <w:pStyle w:val="ParaNoNdepar-AltN"/>
        <w:rPr>
          <w:rFonts w:cs="Times New Roman"/>
          <w:lang w:val="fr-CA"/>
        </w:rPr>
      </w:pPr>
      <w:r w:rsidRPr="00F52D1E">
        <w:rPr>
          <w:rFonts w:cs="Times New Roman"/>
          <w:lang w:val="fr-CA"/>
        </w:rPr>
        <w:t xml:space="preserve">Le titre ancestral confère « le droit de déterminer l’utilisation </w:t>
      </w:r>
      <w:r w:rsidRPr="00F52D1E">
        <w:rPr>
          <w:rFonts w:cs="Times New Roman"/>
          <w:u w:val="single"/>
          <w:lang w:val="fr-CA"/>
        </w:rPr>
        <w:t>des terres</w:t>
      </w:r>
      <w:r w:rsidRPr="00F52D1E">
        <w:rPr>
          <w:rFonts w:cs="Times New Roman"/>
          <w:lang w:val="fr-CA"/>
        </w:rPr>
        <w:t xml:space="preserve">, le droit de jouissance et d’occupation </w:t>
      </w:r>
      <w:r w:rsidRPr="00F52D1E">
        <w:rPr>
          <w:rFonts w:cs="Times New Roman"/>
          <w:u w:val="single"/>
          <w:lang w:val="fr-CA"/>
        </w:rPr>
        <w:t>des terres</w:t>
      </w:r>
      <w:r w:rsidRPr="00F52D1E">
        <w:rPr>
          <w:rFonts w:cs="Times New Roman"/>
          <w:lang w:val="fr-CA"/>
        </w:rPr>
        <w:t xml:space="preserve">, le droit de posséder </w:t>
      </w:r>
      <w:r w:rsidRPr="00F52D1E">
        <w:rPr>
          <w:rFonts w:cs="Times New Roman"/>
          <w:u w:val="single"/>
          <w:lang w:val="fr-CA"/>
        </w:rPr>
        <w:t>les terres</w:t>
      </w:r>
      <w:r w:rsidRPr="00F52D1E">
        <w:rPr>
          <w:rFonts w:cs="Times New Roman"/>
          <w:lang w:val="fr-CA"/>
        </w:rPr>
        <w:t xml:space="preserve">, le droit aux avantages économiques que procurent </w:t>
      </w:r>
      <w:r w:rsidRPr="00F52D1E">
        <w:rPr>
          <w:rFonts w:cs="Times New Roman"/>
          <w:u w:val="single"/>
          <w:lang w:val="fr-CA"/>
        </w:rPr>
        <w:t>les terres</w:t>
      </w:r>
      <w:r w:rsidRPr="00F52D1E">
        <w:rPr>
          <w:rFonts w:cs="Times New Roman"/>
          <w:lang w:val="fr-CA"/>
        </w:rPr>
        <w:t xml:space="preserve"> et le droit d’utiliser et de gérer </w:t>
      </w:r>
      <w:r w:rsidRPr="00F52D1E">
        <w:rPr>
          <w:rFonts w:cs="Times New Roman"/>
          <w:u w:val="single"/>
          <w:lang w:val="fr-CA"/>
        </w:rPr>
        <w:t>les terres</w:t>
      </w:r>
      <w:r w:rsidRPr="00F52D1E">
        <w:rPr>
          <w:rFonts w:cs="Times New Roman"/>
          <w:lang w:val="fr-CA"/>
        </w:rPr>
        <w:t xml:space="preserve"> de manière proactive » : </w:t>
      </w:r>
      <w:r w:rsidRPr="00F52D1E">
        <w:rPr>
          <w:rFonts w:cs="Times New Roman"/>
          <w:i/>
          <w:lang w:val="fr-CA"/>
        </w:rPr>
        <w:t>Nation Tsilhqot’in</w:t>
      </w:r>
      <w:r w:rsidRPr="00F52D1E">
        <w:rPr>
          <w:rFonts w:cs="Times New Roman"/>
          <w:lang w:val="fr-CA"/>
        </w:rPr>
        <w:t xml:space="preserve">, par. 73 (nous soulignons); voir aussi </w:t>
      </w:r>
      <w:r w:rsidRPr="00F52D1E">
        <w:rPr>
          <w:rFonts w:cs="Times New Roman"/>
          <w:i/>
          <w:lang w:val="fr-CA"/>
        </w:rPr>
        <w:t>Delgamuukw</w:t>
      </w:r>
      <w:r w:rsidRPr="00F52D1E">
        <w:rPr>
          <w:rFonts w:cs="Times New Roman"/>
          <w:lang w:val="fr-CA"/>
        </w:rPr>
        <w:t xml:space="preserve">, par. 117 (« le titre aborigène comprend le droit d’utiliser et d’occuper de façon exclusive </w:t>
      </w:r>
      <w:r w:rsidRPr="00F52D1E">
        <w:rPr>
          <w:rFonts w:cs="Times New Roman"/>
          <w:u w:val="single"/>
          <w:lang w:val="fr-CA"/>
        </w:rPr>
        <w:t>les terres</w:t>
      </w:r>
      <w:r w:rsidRPr="00F52D1E">
        <w:rPr>
          <w:rFonts w:cs="Times New Roman"/>
          <w:lang w:val="fr-CA"/>
        </w:rPr>
        <w:t xml:space="preserve"> détenues en vertu de ce titre pour diverses fins qui ne doivent pas nécessairement être des aspects de coutumes, pratiques et traditions autochtones faisant partie intégrante d’une culture autochtone distinctive » (nous soulignons)). En d’autres termes, « le titre aborigène confère [. . .] le droit </w:t>
      </w:r>
      <w:r w:rsidRPr="00F52D1E">
        <w:rPr>
          <w:rFonts w:cs="Times New Roman"/>
          <w:u w:val="single"/>
          <w:lang w:val="fr-CA"/>
        </w:rPr>
        <w:t>au territoire</w:t>
      </w:r>
      <w:r w:rsidRPr="00F52D1E">
        <w:rPr>
          <w:rFonts w:cs="Times New Roman"/>
          <w:lang w:val="fr-CA"/>
        </w:rPr>
        <w:t xml:space="preserve"> lui</w:t>
      </w:r>
      <w:r w:rsidRPr="00F52D1E">
        <w:rPr>
          <w:rFonts w:cs="Times New Roman"/>
          <w:lang w:val="fr-CA"/>
        </w:rPr>
        <w:noBreakHyphen/>
        <w:t xml:space="preserve">même » : </w:t>
      </w:r>
      <w:r w:rsidRPr="00F52D1E">
        <w:rPr>
          <w:rFonts w:cs="Times New Roman"/>
          <w:i/>
          <w:lang w:val="fr-CA"/>
        </w:rPr>
        <w:lastRenderedPageBreak/>
        <w:t>Delgamuukw</w:t>
      </w:r>
      <w:r w:rsidRPr="00F52D1E">
        <w:rPr>
          <w:rFonts w:cs="Times New Roman"/>
          <w:lang w:val="fr-CA"/>
        </w:rPr>
        <w:t xml:space="preserve">, par. 138 (nous soulignons). Il s’agit d’« un intérêt bénéficiaire sur </w:t>
      </w:r>
      <w:r w:rsidRPr="00F52D1E">
        <w:rPr>
          <w:rFonts w:cs="Times New Roman"/>
          <w:u w:val="single"/>
          <w:lang w:val="fr-CA"/>
        </w:rPr>
        <w:t>les terres</w:t>
      </w:r>
      <w:r w:rsidRPr="00F52D1E">
        <w:rPr>
          <w:rFonts w:cs="Times New Roman"/>
          <w:lang w:val="fr-CA"/>
        </w:rPr>
        <w:t xml:space="preserve"> », et « les titulaires du titre ont droit aux avantages associés </w:t>
      </w:r>
      <w:r w:rsidRPr="00F52D1E">
        <w:rPr>
          <w:rFonts w:cs="Times New Roman"/>
          <w:u w:val="single"/>
          <w:lang w:val="fr-CA"/>
        </w:rPr>
        <w:t>aux terres</w:t>
      </w:r>
      <w:r w:rsidRPr="00F52D1E">
        <w:rPr>
          <w:rFonts w:cs="Times New Roman"/>
          <w:lang w:val="fr-CA"/>
        </w:rPr>
        <w:t xml:space="preserve"> — de les utiliser, d’en jouir et de profiter de leur développement économique » : </w:t>
      </w:r>
      <w:r w:rsidRPr="00F52D1E">
        <w:rPr>
          <w:rFonts w:cs="Times New Roman"/>
          <w:i/>
          <w:lang w:val="fr-CA"/>
        </w:rPr>
        <w:t>Nation Tsilhqot’in</w:t>
      </w:r>
      <w:r w:rsidR="009E2F25">
        <w:rPr>
          <w:rFonts w:cs="Times New Roman"/>
          <w:lang w:val="fr-CA"/>
        </w:rPr>
        <w:t>, par. 70 (nous soulignons).</w:t>
      </w:r>
    </w:p>
    <w:p w:rsidR="00CF3116" w:rsidRPr="00F52D1E" w:rsidRDefault="00CF3116" w:rsidP="00CF3116">
      <w:pPr>
        <w:pStyle w:val="ParaNoNdepar-AltN"/>
        <w:rPr>
          <w:rFonts w:cs="Times New Roman"/>
          <w:lang w:val="fr-CA"/>
        </w:rPr>
      </w:pPr>
      <w:r w:rsidRPr="00F52D1E">
        <w:rPr>
          <w:rFonts w:cs="Times New Roman"/>
          <w:lang w:val="fr-CA"/>
        </w:rPr>
        <w:t>En l’espèce, l’action des Innus repose en grande partie sur l’allégation d’une violation par les défenderesses IOC et QNS&amp;L du titre ancestral dont ils estiment être titulaires sur tout le Nitassinan, mais en particulier sur les parties du Nitassinan affectées par le mégaprojet d’IOC :</w:t>
      </w:r>
    </w:p>
    <w:p w:rsidR="00CF3116" w:rsidRPr="00F52D1E" w:rsidRDefault="00CF3116" w:rsidP="00CF3116">
      <w:pPr>
        <w:pStyle w:val="Citation-AltC"/>
        <w:ind w:firstLine="274"/>
        <w:rPr>
          <w:lang w:val="fr-CA"/>
        </w:rPr>
      </w:pPr>
      <w:r w:rsidRPr="00F52D1E">
        <w:rPr>
          <w:lang w:val="fr-CA"/>
        </w:rPr>
        <w:t>Les Innus de UM</w:t>
      </w:r>
      <w:r w:rsidRPr="00F52D1E">
        <w:rPr>
          <w:lang w:val="fr-CA"/>
        </w:rPr>
        <w:noBreakHyphen/>
        <w:t xml:space="preserve">MLJ invoquent les droits ancestraux, </w:t>
      </w:r>
      <w:r w:rsidRPr="00F52D1E">
        <w:rPr>
          <w:u w:val="single"/>
          <w:lang w:val="fr-CA"/>
        </w:rPr>
        <w:t>y compris le titre indien</w:t>
      </w:r>
      <w:r w:rsidRPr="00F52D1E">
        <w:rPr>
          <w:lang w:val="fr-CA"/>
        </w:rPr>
        <w:t xml:space="preserve">, et les droits issus de traités existants </w:t>
      </w:r>
      <w:r w:rsidRPr="00F52D1E">
        <w:rPr>
          <w:u w:val="single"/>
          <w:lang w:val="fr-CA"/>
        </w:rPr>
        <w:t>dans et sur tout le Nitassinan</w:t>
      </w:r>
      <w:r w:rsidRPr="00F52D1E">
        <w:rPr>
          <w:lang w:val="fr-CA"/>
        </w:rPr>
        <w:t>, y compris à l’égard du minerai de fer et autres ressources naturelles s’y trouvant, et, quant aux défenderesses, à l’égard de tout ce qu’elles y possèdent ou utilisent. Les Innus de UM</w:t>
      </w:r>
      <w:r w:rsidRPr="00F52D1E">
        <w:rPr>
          <w:lang w:val="fr-CA"/>
        </w:rPr>
        <w:noBreakHyphen/>
        <w:t xml:space="preserve">MLJ n’ont jamais cédé ou autrement perdu ces droits. Leurs droits ancestraux qui datent d’avant le contact avec les Européens existent toujours et sont reconnus par [la] </w:t>
      </w:r>
      <w:r w:rsidRPr="00F52D1E">
        <w:rPr>
          <w:i/>
          <w:lang w:val="fr-CA"/>
        </w:rPr>
        <w:t>common law</w:t>
      </w:r>
      <w:r w:rsidRPr="00F52D1E">
        <w:rPr>
          <w:lang w:val="fr-CA"/>
        </w:rPr>
        <w:t>. De plus, ces droits ancestraux ainsi que leurs droits issus de traités jouissent d’une protection constitutionnelle. Tous ces droits sont également imprescriptibles, hors commerce, incessibles et non susceptibles d’appropriation sans le consentement des Innus de UM</w:t>
      </w:r>
      <w:r w:rsidRPr="00F52D1E">
        <w:rPr>
          <w:lang w:val="fr-CA"/>
        </w:rPr>
        <w:noBreakHyphen/>
        <w:t>MLJ.</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Les Innus de UM</w:t>
      </w:r>
      <w:r w:rsidRPr="00F52D1E">
        <w:rPr>
          <w:lang w:val="fr-CA"/>
        </w:rPr>
        <w:noBreakHyphen/>
        <w:t xml:space="preserve">MLJ invoquent </w:t>
      </w:r>
      <w:r w:rsidRPr="00F52D1E">
        <w:rPr>
          <w:u w:val="single"/>
          <w:lang w:val="fr-CA"/>
        </w:rPr>
        <w:t>en particulier le titre indien à l’égard de tous les sites visés par les projets miniers d’IOC</w:t>
      </w:r>
      <w:r w:rsidRPr="00F52D1E">
        <w:rPr>
          <w:lang w:val="fr-CA"/>
        </w:rPr>
        <w:t>, y compris ceux qui sont situés dans la partie du Nitassinan couverte par les régions de Schefferville et de Labrador City mentionnés aux paragraphes 40, 41, 59 à 64, 87, 88, 92, 95 et 96, à l’égard de l’assiette du réseau ferroviaire des défenderesses décrit aux paragraphes 33, 42, 59, 68 et 73, à l’égard des terres visées par les complexes hydroélectriques de Menihek et Sainte</w:t>
      </w:r>
      <w:r w:rsidRPr="00F52D1E">
        <w:rPr>
          <w:lang w:val="fr-CA"/>
        </w:rPr>
        <w:noBreakHyphen/>
        <w:t>Marguerite 2 décrits aux paragraphes 59, 62, 63, 85 et 86, et à l’égard des terres situées dans la région de Sept</w:t>
      </w:r>
      <w:r w:rsidRPr="00F52D1E">
        <w:rPr>
          <w:lang w:val="fr-CA"/>
        </w:rPr>
        <w:noBreakHyphen/>
        <w:t>Îles sur lesquelles les défenderesses ont construit leurs installations portuaires, ferroviaires et industrielles d’une superficie de plus de onze kilomètres carrés décrites aux paragraphes 59 et 78 à 84. Cette région de Sept</w:t>
      </w:r>
      <w:r w:rsidRPr="00F52D1E">
        <w:rPr>
          <w:lang w:val="fr-CA"/>
        </w:rPr>
        <w:noBreakHyphen/>
        <w:t>Îles est aussi désignée « la région de la Baie des Sept</w:t>
      </w:r>
      <w:r w:rsidRPr="00F52D1E">
        <w:rPr>
          <w:lang w:val="fr-CA"/>
        </w:rPr>
        <w:noBreakHyphen/>
        <w:t>Îles ». [Nous soulignons.]</w:t>
      </w:r>
    </w:p>
    <w:p w:rsidR="00CF3116" w:rsidRPr="00F52D1E" w:rsidRDefault="00CF3116" w:rsidP="00CF3116">
      <w:pPr>
        <w:pStyle w:val="Citation-AltC"/>
        <w:rPr>
          <w:lang w:val="fr-CA"/>
        </w:rPr>
      </w:pPr>
    </w:p>
    <w:p w:rsidR="00CF3116" w:rsidRPr="00F52D1E" w:rsidRDefault="00CF3116" w:rsidP="001A0377">
      <w:pPr>
        <w:pStyle w:val="Citation-AltC"/>
        <w:ind w:left="0"/>
        <w:rPr>
          <w:lang w:val="fr-CA"/>
        </w:rPr>
      </w:pPr>
      <w:r w:rsidRPr="00F52D1E">
        <w:rPr>
          <w:lang w:val="fr-CA"/>
        </w:rPr>
        <w:t xml:space="preserve">(Requête introductive d’instance, </w:t>
      </w:r>
      <w:proofErr w:type="gramStart"/>
      <w:r w:rsidRPr="00F52D1E">
        <w:rPr>
          <w:lang w:val="fr-CA"/>
        </w:rPr>
        <w:t>d.a.,</w:t>
      </w:r>
      <w:proofErr w:type="gramEnd"/>
      <w:r w:rsidRPr="00F52D1E">
        <w:rPr>
          <w:lang w:val="fr-CA"/>
        </w:rPr>
        <w:t xml:space="preserve"> vol. II, p. 10</w:t>
      </w:r>
      <w:r w:rsidRPr="00F52D1E">
        <w:rPr>
          <w:lang w:val="fr-CA"/>
        </w:rPr>
        <w:noBreakHyphen/>
        <w:t>11)</w:t>
      </w:r>
    </w:p>
    <w:p w:rsidR="00CF3116" w:rsidRPr="00F52D1E" w:rsidRDefault="00CF3116" w:rsidP="00CF3116">
      <w:pPr>
        <w:pStyle w:val="ParaNoNdepar-AltN"/>
        <w:rPr>
          <w:rFonts w:cs="Times New Roman"/>
          <w:lang w:val="fr-CA"/>
        </w:rPr>
      </w:pPr>
      <w:r w:rsidRPr="00F52D1E">
        <w:rPr>
          <w:rFonts w:cs="Times New Roman"/>
          <w:lang w:val="fr-CA"/>
        </w:rPr>
        <w:lastRenderedPageBreak/>
        <w:t>Les termes « titre ancestral », « titre aborigène », « titre autochtone » ou « titre indien » sont synonymes; ils désignent tous le concept d’un « </w:t>
      </w:r>
      <w:r w:rsidRPr="00F52D1E">
        <w:rPr>
          <w:rFonts w:cs="Times New Roman"/>
          <w:u w:val="single"/>
          <w:lang w:val="fr-CA"/>
        </w:rPr>
        <w:t>[d]roit foncier</w:t>
      </w:r>
      <w:r w:rsidRPr="00F52D1E">
        <w:rPr>
          <w:rFonts w:cs="Times New Roman"/>
          <w:lang w:val="fr-CA"/>
        </w:rPr>
        <w:t xml:space="preserve"> </w:t>
      </w:r>
      <w:r w:rsidRPr="00F52D1E">
        <w:rPr>
          <w:rFonts w:cs="Times New Roman"/>
          <w:i/>
          <w:lang w:val="fr-CA"/>
        </w:rPr>
        <w:t>sui generis</w:t>
      </w:r>
      <w:r w:rsidRPr="00F52D1E">
        <w:rPr>
          <w:rFonts w:cs="Times New Roman"/>
          <w:lang w:val="fr-CA"/>
        </w:rPr>
        <w:t xml:space="preserve"> qui tire son origine de l’occupation et de l’utilisation exclusives par un peuple autochtone d’un territoire déterminé à l’égard duquel celui</w:t>
      </w:r>
      <w:r w:rsidRPr="00F52D1E">
        <w:rPr>
          <w:rFonts w:cs="Times New Roman"/>
          <w:lang w:val="fr-CA"/>
        </w:rPr>
        <w:noBreakHyphen/>
        <w:t xml:space="preserve">ci a un lien d’attachement ancestral » : </w:t>
      </w:r>
      <w:r w:rsidRPr="00F52D1E">
        <w:rPr>
          <w:rFonts w:cs="Times New Roman"/>
          <w:i/>
          <w:lang w:val="fr-CA"/>
        </w:rPr>
        <w:t>Dictionnaire de droit privé et lexiques bilingues : Les biens</w:t>
      </w:r>
      <w:r w:rsidRPr="00F52D1E">
        <w:rPr>
          <w:rFonts w:cs="Times New Roman"/>
          <w:lang w:val="fr-CA"/>
        </w:rPr>
        <w:t>, p. 213,</w:t>
      </w:r>
      <w:r w:rsidRPr="00F52D1E">
        <w:rPr>
          <w:rFonts w:cs="Times New Roman"/>
          <w:i/>
          <w:lang w:val="fr-CA"/>
        </w:rPr>
        <w:t xml:space="preserve"> </w:t>
      </w:r>
      <w:r w:rsidRPr="00F52D1E">
        <w:rPr>
          <w:rFonts w:cs="Times New Roman"/>
          <w:lang w:val="fr-CA"/>
        </w:rPr>
        <w:t>« titre aborigène » (nous soulignons).</w:t>
      </w:r>
    </w:p>
    <w:p w:rsidR="00CF3116" w:rsidRPr="00F52D1E" w:rsidRDefault="00CF3116" w:rsidP="00CF3116">
      <w:pPr>
        <w:pStyle w:val="ParaNoNdepar-AltN"/>
        <w:rPr>
          <w:rFonts w:cs="Times New Roman"/>
          <w:lang w:val="fr-CA"/>
        </w:rPr>
      </w:pPr>
      <w:r w:rsidRPr="00F52D1E">
        <w:rPr>
          <w:rFonts w:cs="Times New Roman"/>
          <w:lang w:val="fr-CA"/>
        </w:rPr>
        <w:t xml:space="preserve">Le point de départ de la jurisprudence canadienne sur le titre ancestral est la décision du Conseil privé dans l’affaire </w:t>
      </w:r>
      <w:r w:rsidRPr="00F52D1E">
        <w:rPr>
          <w:rFonts w:cs="Times New Roman"/>
          <w:i/>
          <w:lang w:val="fr-CA"/>
        </w:rPr>
        <w:t>St. Catherine’s Milling</w:t>
      </w:r>
      <w:r w:rsidRPr="00F52D1E">
        <w:rPr>
          <w:rFonts w:cs="Times New Roman"/>
          <w:lang w:val="fr-CA"/>
        </w:rPr>
        <w:t>, dans laquelle le titre ancestral a été décrit comme étant un [</w:t>
      </w:r>
      <w:r w:rsidRPr="00F52D1E">
        <w:rPr>
          <w:rFonts w:cs="Times New Roman"/>
          <w:smallCaps/>
          <w:lang w:val="fr-CA"/>
        </w:rPr>
        <w:t>traduction</w:t>
      </w:r>
      <w:r w:rsidRPr="00F52D1E">
        <w:rPr>
          <w:rFonts w:cs="Times New Roman"/>
          <w:lang w:val="fr-CA"/>
        </w:rPr>
        <w:t>] « droit personnel, de la nature d’un usufruit » (« </w:t>
      </w:r>
      <w:r w:rsidRPr="00F52D1E">
        <w:rPr>
          <w:rFonts w:cs="Times New Roman"/>
          <w:i/>
          <w:lang w:val="fr-CA"/>
        </w:rPr>
        <w:t>personal and usufructuary right</w:t>
      </w:r>
      <w:r w:rsidRPr="00F52D1E">
        <w:rPr>
          <w:rFonts w:cs="Times New Roman"/>
          <w:lang w:val="fr-CA"/>
        </w:rPr>
        <w:t xml:space="preserve"> ») : p. 54. L’emploi du terme « usufruit » ne renvoyait sans doute pas à l’usufruit du droit civil — lequel </w:t>
      </w:r>
      <w:r w:rsidRPr="00F52D1E">
        <w:rPr>
          <w:rFonts w:cs="Times New Roman"/>
          <w:i/>
          <w:lang w:val="fr-CA"/>
        </w:rPr>
        <w:t>est</w:t>
      </w:r>
      <w:r w:rsidRPr="00F52D1E">
        <w:rPr>
          <w:rFonts w:cs="Times New Roman"/>
          <w:lang w:val="fr-CA"/>
        </w:rPr>
        <w:t xml:space="preserve"> un droit réel (et non un droit personnel) : art. 1119 et 1120 </w:t>
      </w:r>
      <w:r w:rsidRPr="00F52D1E">
        <w:rPr>
          <w:rFonts w:cs="Times New Roman"/>
          <w:i/>
          <w:lang w:val="fr-CA"/>
        </w:rPr>
        <w:t>C.c.Q.</w:t>
      </w:r>
      <w:r w:rsidRPr="00F52D1E">
        <w:rPr>
          <w:rFonts w:cs="Times New Roman"/>
          <w:lang w:val="fr-CA"/>
        </w:rPr>
        <w:t>; voir, à ce sujet, M. Morin, « La coexistence des systèmes de droit autochtones, de droit civil et de common law au Canada », dans L. Perret et A.</w:t>
      </w:r>
      <w:r w:rsidRPr="00F52D1E">
        <w:rPr>
          <w:rFonts w:cs="Times New Roman"/>
          <w:lang w:val="fr-CA"/>
        </w:rPr>
        <w:noBreakHyphen/>
        <w:t xml:space="preserve">F. Bisson, dir., </w:t>
      </w:r>
      <w:r w:rsidRPr="00F52D1E">
        <w:rPr>
          <w:rFonts w:cs="Times New Roman"/>
          <w:i/>
          <w:lang w:val="fr-CA"/>
        </w:rPr>
        <w:t>Évolution des systèmes juridiques, bijuridisme et commerce international</w:t>
      </w:r>
      <w:r w:rsidRPr="00F52D1E">
        <w:rPr>
          <w:rFonts w:cs="Times New Roman"/>
          <w:lang w:val="fr-CA"/>
        </w:rPr>
        <w:t xml:space="preserve"> (2003), 159, p. 167; voir aussi, cependant, </w:t>
      </w:r>
      <w:r w:rsidRPr="00F52D1E">
        <w:rPr>
          <w:rFonts w:cs="Times New Roman"/>
          <w:i/>
          <w:lang w:val="fr-CA"/>
        </w:rPr>
        <w:t>R. c. Marshall</w:t>
      </w:r>
      <w:r w:rsidRPr="00F52D1E">
        <w:rPr>
          <w:rFonts w:cs="Times New Roman"/>
          <w:lang w:val="fr-CA"/>
        </w:rPr>
        <w:t xml:space="preserve">, 2005 CSC 43, [2005] 2 R.C.S. 220, par. 135, </w:t>
      </w:r>
      <w:r w:rsidR="009E2F25">
        <w:rPr>
          <w:rFonts w:cs="Times New Roman"/>
          <w:lang w:val="fr-CA"/>
        </w:rPr>
        <w:t>le juge LeBel; Anker, p. 10</w:t>
      </w:r>
      <w:r w:rsidR="009E2F25">
        <w:rPr>
          <w:rFonts w:cs="Times New Roman"/>
          <w:lang w:val="fr-CA"/>
        </w:rPr>
        <w:noBreakHyphen/>
        <w:t>11.</w:t>
      </w:r>
    </w:p>
    <w:p w:rsidR="00CF3116" w:rsidRPr="00F52D1E" w:rsidRDefault="00CF3116" w:rsidP="00CF3116">
      <w:pPr>
        <w:pStyle w:val="ParaNoNdepar-AltN"/>
        <w:rPr>
          <w:rFonts w:cs="Times New Roman"/>
          <w:lang w:val="fr-CA"/>
        </w:rPr>
      </w:pPr>
      <w:r w:rsidRPr="00F52D1E">
        <w:rPr>
          <w:rFonts w:cs="Times New Roman"/>
          <w:lang w:val="fr-CA"/>
        </w:rPr>
        <w:t xml:space="preserve">En 1984, les motifs concordants du juge Dickson dans l’affaire </w:t>
      </w:r>
      <w:r w:rsidRPr="00F52D1E">
        <w:rPr>
          <w:rFonts w:cs="Times New Roman"/>
          <w:i/>
          <w:lang w:val="fr-CA"/>
        </w:rPr>
        <w:t xml:space="preserve">Guerin </w:t>
      </w:r>
      <w:r w:rsidRPr="00F52D1E">
        <w:rPr>
          <w:rFonts w:cs="Times New Roman"/>
          <w:lang w:val="fr-CA"/>
        </w:rPr>
        <w:t xml:space="preserve">« décriv[ent] la thèse selon laquelle le titre ancestral constitue un </w:t>
      </w:r>
      <w:r w:rsidRPr="00F52D1E">
        <w:rPr>
          <w:rFonts w:cs="Times New Roman"/>
          <w:i/>
          <w:lang w:val="fr-CA"/>
        </w:rPr>
        <w:t>droit foncier</w:t>
      </w:r>
      <w:r w:rsidRPr="00F52D1E">
        <w:rPr>
          <w:rFonts w:cs="Times New Roman"/>
          <w:lang w:val="fr-CA"/>
        </w:rPr>
        <w:t xml:space="preserve"> plutôt qu’un </w:t>
      </w:r>
      <w:r w:rsidRPr="00F52D1E">
        <w:rPr>
          <w:rFonts w:cs="Times New Roman"/>
          <w:i/>
          <w:lang w:val="fr-CA"/>
        </w:rPr>
        <w:t>droit personnel</w:t>
      </w:r>
      <w:r w:rsidRPr="00F52D1E">
        <w:rPr>
          <w:rFonts w:cs="Times New Roman"/>
          <w:lang w:val="fr-CA"/>
        </w:rPr>
        <w:t xml:space="preserve"> de type usufructuaire comme comportant une part de vérité, le terme droit personnel faisant simplement référence au caractère inaliénable du titre ancestral » : Y. Emerich, </w:t>
      </w:r>
      <w:r w:rsidRPr="00F52D1E">
        <w:rPr>
          <w:rFonts w:cs="Times New Roman"/>
          <w:i/>
          <w:lang w:val="fr-CA"/>
        </w:rPr>
        <w:t>Droit commun des biens : perspective transsystémique</w:t>
      </w:r>
      <w:r w:rsidRPr="00F52D1E">
        <w:rPr>
          <w:rFonts w:cs="Times New Roman"/>
          <w:lang w:val="fr-CA"/>
        </w:rPr>
        <w:t xml:space="preserve"> (2017), p. 50. La Cour </w:t>
      </w:r>
      <w:proofErr w:type="gramStart"/>
      <w:r w:rsidRPr="00F52D1E">
        <w:rPr>
          <w:rFonts w:cs="Times New Roman"/>
          <w:lang w:val="fr-CA"/>
        </w:rPr>
        <w:t>a</w:t>
      </w:r>
      <w:proofErr w:type="gramEnd"/>
      <w:r w:rsidRPr="00F52D1E">
        <w:rPr>
          <w:rFonts w:cs="Times New Roman"/>
          <w:lang w:val="fr-CA"/>
        </w:rPr>
        <w:t xml:space="preserve"> plus tard décrit le jugement concordant du juge Dickson dans </w:t>
      </w:r>
      <w:r w:rsidRPr="00F52D1E">
        <w:rPr>
          <w:rFonts w:cs="Times New Roman"/>
          <w:lang w:val="fr-CA"/>
        </w:rPr>
        <w:lastRenderedPageBreak/>
        <w:t xml:space="preserve">l’affaire </w:t>
      </w:r>
      <w:r w:rsidRPr="00F52D1E">
        <w:rPr>
          <w:rFonts w:cs="Times New Roman"/>
          <w:i/>
          <w:lang w:val="fr-CA"/>
        </w:rPr>
        <w:t>Guerin</w:t>
      </w:r>
      <w:r w:rsidRPr="00F52D1E">
        <w:rPr>
          <w:rFonts w:cs="Times New Roman"/>
          <w:lang w:val="fr-CA"/>
        </w:rPr>
        <w:t xml:space="preserve"> comme « [l]e point de départ de la qualification de la nature juridique du titre ancestral » : </w:t>
      </w:r>
      <w:r w:rsidRPr="00F52D1E">
        <w:rPr>
          <w:rFonts w:cs="Times New Roman"/>
          <w:i/>
          <w:lang w:val="fr-CA"/>
        </w:rPr>
        <w:t>Nation Tsilhqot’in</w:t>
      </w:r>
      <w:r w:rsidRPr="00F52D1E">
        <w:rPr>
          <w:rFonts w:cs="Times New Roman"/>
          <w:lang w:val="fr-CA"/>
        </w:rPr>
        <w:t>, par. 69.</w:t>
      </w:r>
    </w:p>
    <w:p w:rsidR="00CF3116" w:rsidRPr="00F52D1E" w:rsidRDefault="00CF3116" w:rsidP="00CF3116">
      <w:pPr>
        <w:pStyle w:val="ParaNoNdepar-AltN"/>
        <w:rPr>
          <w:rFonts w:cs="Times New Roman"/>
          <w:lang w:val="fr-CA"/>
        </w:rPr>
      </w:pPr>
      <w:r w:rsidRPr="00F52D1E">
        <w:rPr>
          <w:rFonts w:cs="Times New Roman"/>
          <w:lang w:val="fr-CA"/>
        </w:rPr>
        <w:t xml:space="preserve">C’est finalement sous la plume du juge en chef Lamer, dans l’affaire </w:t>
      </w:r>
      <w:r w:rsidRPr="00F52D1E">
        <w:rPr>
          <w:rFonts w:cs="Times New Roman"/>
          <w:i/>
          <w:lang w:val="fr-CA"/>
        </w:rPr>
        <w:t>Delgamuukw</w:t>
      </w:r>
      <w:r w:rsidRPr="00F52D1E">
        <w:rPr>
          <w:rFonts w:cs="Times New Roman"/>
          <w:lang w:val="fr-CA"/>
        </w:rPr>
        <w:t xml:space="preserve">, que la nature foncière (et non simplement personnelle) du titre ancestral était reconnue sans équivoque par la Cour qu’elle qualifiait de « droit foncier </w:t>
      </w:r>
      <w:r w:rsidRPr="00F52D1E">
        <w:rPr>
          <w:rFonts w:cs="Times New Roman"/>
          <w:i/>
          <w:lang w:val="fr-CA"/>
        </w:rPr>
        <w:t>sui generis</w:t>
      </w:r>
      <w:r w:rsidRPr="00F52D1E">
        <w:rPr>
          <w:rFonts w:cs="Times New Roman"/>
          <w:lang w:val="fr-CA"/>
        </w:rPr>
        <w:t xml:space="preserve"> » ou encore d’« intérêt foncier </w:t>
      </w:r>
      <w:r w:rsidRPr="00F52D1E">
        <w:rPr>
          <w:rFonts w:cs="Times New Roman"/>
          <w:i/>
          <w:lang w:val="fr-CA"/>
        </w:rPr>
        <w:t>sui generis</w:t>
      </w:r>
      <w:r w:rsidRPr="00F52D1E">
        <w:rPr>
          <w:rFonts w:cs="Times New Roman"/>
          <w:lang w:val="fr-CA"/>
        </w:rPr>
        <w:t> » : par. 111</w:t>
      </w:r>
      <w:r w:rsidRPr="00F52D1E">
        <w:rPr>
          <w:rFonts w:cs="Times New Roman"/>
          <w:lang w:val="fr-CA"/>
        </w:rPr>
        <w:noBreakHyphen/>
        <w:t>112; voir surtout au par. 113 :</w:t>
      </w:r>
    </w:p>
    <w:p w:rsidR="00CF3116" w:rsidRPr="00F52D1E" w:rsidRDefault="00CF3116" w:rsidP="00CF3116">
      <w:pPr>
        <w:pStyle w:val="Citation-AltC"/>
        <w:ind w:firstLine="274"/>
      </w:pPr>
      <w:r w:rsidRPr="00F52D1E">
        <w:rPr>
          <w:u w:val="single"/>
          <w:lang w:val="fr-CA"/>
        </w:rPr>
        <w:t xml:space="preserve">L’idée que le titre aborigène a un caractère </w:t>
      </w:r>
      <w:r w:rsidRPr="00F52D1E">
        <w:rPr>
          <w:i/>
          <w:u w:val="single"/>
          <w:lang w:val="fr-CA"/>
        </w:rPr>
        <w:t>sui generis</w:t>
      </w:r>
      <w:r w:rsidRPr="00F52D1E">
        <w:rPr>
          <w:u w:val="single"/>
          <w:lang w:val="fr-CA"/>
        </w:rPr>
        <w:t xml:space="preserve"> est le principe unificateur qui sous</w:t>
      </w:r>
      <w:r w:rsidRPr="00F52D1E">
        <w:rPr>
          <w:u w:val="single"/>
          <w:lang w:val="fr-CA"/>
        </w:rPr>
        <w:noBreakHyphen/>
        <w:t>tend les différentes dimensions de ce titre. L’une de ces dimensions est l’inaliénabilité du titre aborigène.</w:t>
      </w:r>
      <w:r w:rsidRPr="00F52D1E">
        <w:rPr>
          <w:lang w:val="fr-CA"/>
        </w:rPr>
        <w:t xml:space="preserve"> Les terres détenues en vertu d’un titre aborigène ne peuvent être transférées, vendues ou cédées à personne d’autre que la Couronne, et elles sont par conséquent inaliénables. </w:t>
      </w:r>
      <w:r w:rsidRPr="00F52D1E">
        <w:rPr>
          <w:u w:val="single"/>
          <w:lang w:val="fr-CA"/>
        </w:rPr>
        <w:t>Notre Cour s’est efforcée de préciser que c’est uniquement dans ce sens que le titre aborigène est un droit « personnel », et que cela ne veut pas dire qu’il ne s’agit pas d’un intérêt de propriété</w:t>
      </w:r>
      <w:r w:rsidRPr="00F52D1E">
        <w:rPr>
          <w:lang w:val="fr-CA"/>
        </w:rPr>
        <w:t xml:space="preserve">, qui ne représente rien de plus qu’une autorisation d’utiliser et d’occuper les terres visées et qui ne peut pas concurrencer sur un pied d’égalité d’autres droits de propriété : </w:t>
      </w:r>
      <w:r w:rsidRPr="00F52D1E">
        <w:rPr>
          <w:i/>
          <w:lang w:val="fr-CA"/>
        </w:rPr>
        <w:t>Canadien Pacifique Ltée c. Paul</w:t>
      </w:r>
      <w:r w:rsidRPr="00F52D1E">
        <w:rPr>
          <w:lang w:val="fr-CA"/>
        </w:rPr>
        <w:t xml:space="preserve">, [1988] 2 R.C.S. 654, à la p. 677. </w:t>
      </w:r>
      <w:r w:rsidRPr="00F52D1E">
        <w:t>[Nous soulignons; soulignement dans l’original omis.]</w:t>
      </w:r>
    </w:p>
    <w:p w:rsidR="00CF3116" w:rsidRPr="00F52D1E" w:rsidRDefault="00CF3116" w:rsidP="00CF3116">
      <w:pPr>
        <w:pStyle w:val="ParaNoNdepar-AltN"/>
        <w:rPr>
          <w:rFonts w:cs="Times New Roman"/>
          <w:lang w:val="fr-CA"/>
        </w:rPr>
      </w:pPr>
      <w:r w:rsidRPr="00F52D1E">
        <w:rPr>
          <w:rFonts w:cs="Times New Roman"/>
          <w:lang w:val="fr-CA"/>
        </w:rPr>
        <w:t xml:space="preserve">La doctrine interprète à juste titre ces propos du juge en chef Lamer dans l’affaire </w:t>
      </w:r>
      <w:r w:rsidRPr="00F52D1E">
        <w:rPr>
          <w:rFonts w:cs="Times New Roman"/>
          <w:i/>
          <w:lang w:val="fr-CA"/>
        </w:rPr>
        <w:t>Delgamuukw</w:t>
      </w:r>
      <w:r w:rsidRPr="00F52D1E">
        <w:rPr>
          <w:rFonts w:cs="Times New Roman"/>
          <w:lang w:val="fr-CA"/>
        </w:rPr>
        <w:t xml:space="preserve"> comme confirmant la nature propriétaire et non simplement p</w:t>
      </w:r>
      <w:r w:rsidR="009E2F25">
        <w:rPr>
          <w:rFonts w:cs="Times New Roman"/>
          <w:lang w:val="fr-CA"/>
        </w:rPr>
        <w:t>ersonnelle du titre ancestral :</w:t>
      </w:r>
    </w:p>
    <w:p w:rsidR="00CF3116" w:rsidRPr="00F52D1E" w:rsidRDefault="00CF3116" w:rsidP="00CF3116">
      <w:pPr>
        <w:pStyle w:val="Citation-AltC"/>
        <w:ind w:firstLine="274"/>
        <w:rPr>
          <w:lang w:val="fr-CA"/>
        </w:rPr>
      </w:pPr>
      <w:r w:rsidRPr="00F52D1E">
        <w:rPr>
          <w:lang w:val="fr-CA"/>
        </w:rPr>
        <w:t xml:space="preserve">Si le titre ancestral est reconnu, les autochtones peuvent utiliser et occuper les terres visées de façon exclusive à des fins qui ne doivent pas forcément faire partie intégrante de leur culture distinctive antérieurement à l’arrivée des Européens. </w:t>
      </w:r>
      <w:r w:rsidRPr="00F52D1E">
        <w:rPr>
          <w:u w:val="single"/>
          <w:lang w:val="fr-CA"/>
        </w:rPr>
        <w:t>Ils détiennent un droit foncier de la nature du droit de propriété</w:t>
      </w:r>
      <w:r w:rsidRPr="00F52D1E">
        <w:rPr>
          <w:lang w:val="fr-CA"/>
        </w:rPr>
        <w:t xml:space="preserve"> qui « grève le titre sous</w:t>
      </w:r>
      <w:r w:rsidRPr="00F52D1E">
        <w:rPr>
          <w:lang w:val="fr-CA"/>
        </w:rPr>
        <w:noBreakHyphen/>
        <w:t>jacent de la couronne »; celle</w:t>
      </w:r>
      <w:r w:rsidRPr="00F52D1E">
        <w:rPr>
          <w:lang w:val="fr-CA"/>
        </w:rPr>
        <w:noBreakHyphen/>
        <w:t>ci est la seule à pouvoir bénéficier d’une cession. [Nous soulignons; note en bas de page omise.]</w:t>
      </w:r>
    </w:p>
    <w:p w:rsidR="00CF3116" w:rsidRPr="00F52D1E" w:rsidRDefault="00CF3116" w:rsidP="00CF3116">
      <w:pPr>
        <w:pStyle w:val="Citation-AltC"/>
        <w:rPr>
          <w:lang w:val="fr-CA"/>
        </w:rPr>
      </w:pPr>
    </w:p>
    <w:p w:rsidR="00CF3116" w:rsidRPr="00F52D1E" w:rsidRDefault="00CF3116" w:rsidP="001A0377">
      <w:pPr>
        <w:pStyle w:val="Citation-AltC"/>
        <w:ind w:left="0"/>
        <w:rPr>
          <w:lang w:val="fr-CA"/>
        </w:rPr>
      </w:pPr>
      <w:r w:rsidRPr="00F52D1E">
        <w:rPr>
          <w:lang w:val="fr-CA"/>
        </w:rPr>
        <w:t>(Morin, p. 175)</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lastRenderedPageBreak/>
        <w:t xml:space="preserve">En qualifiant le titre ancestral de « droit foncier </w:t>
      </w:r>
      <w:r w:rsidRPr="00F52D1E">
        <w:rPr>
          <w:i/>
          <w:lang w:val="fr-CA"/>
        </w:rPr>
        <w:t>sui generis</w:t>
      </w:r>
      <w:r w:rsidRPr="00F52D1E">
        <w:rPr>
          <w:lang w:val="fr-CA"/>
        </w:rPr>
        <w:t xml:space="preserve"> », la Cour reconnaît le titre ancestral comme </w:t>
      </w:r>
      <w:r w:rsidRPr="00F52D1E">
        <w:rPr>
          <w:u w:val="single"/>
          <w:lang w:val="fr-CA"/>
        </w:rPr>
        <w:t>un droit propriétaire</w:t>
      </w:r>
      <w:r w:rsidRPr="00F52D1E">
        <w:rPr>
          <w:lang w:val="fr-CA"/>
        </w:rPr>
        <w:t xml:space="preserve"> et non comme droit personnel, malgré les limites qui lui sont propres. [Nous soulignons.]</w:t>
      </w:r>
    </w:p>
    <w:p w:rsidR="00CF3116" w:rsidRPr="00F52D1E" w:rsidRDefault="00CF3116" w:rsidP="00CF3116">
      <w:pPr>
        <w:pStyle w:val="Citation-AltC"/>
        <w:rPr>
          <w:lang w:val="fr-CA"/>
        </w:rPr>
      </w:pPr>
    </w:p>
    <w:p w:rsidR="00CF3116" w:rsidRPr="00F52D1E" w:rsidRDefault="00CF3116" w:rsidP="001A0377">
      <w:pPr>
        <w:pStyle w:val="Citation-AltC"/>
        <w:ind w:left="0"/>
        <w:rPr>
          <w:lang w:val="fr-CA"/>
        </w:rPr>
      </w:pPr>
      <w:r w:rsidRPr="00F52D1E">
        <w:rPr>
          <w:lang w:val="fr-CA"/>
        </w:rPr>
        <w:t>(Emerich, p. 50</w:t>
      </w:r>
      <w:r w:rsidRPr="00F52D1E">
        <w:rPr>
          <w:lang w:val="fr-CA"/>
        </w:rPr>
        <w:noBreakHyphen/>
        <w:t>51)</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w:t>
      </w:r>
      <w:r w:rsidRPr="00F52D1E">
        <w:rPr>
          <w:smallCaps/>
          <w:lang w:val="fr-CA"/>
        </w:rPr>
        <w:t>traduction</w:t>
      </w:r>
      <w:r w:rsidRPr="00F52D1E">
        <w:rPr>
          <w:lang w:val="fr-CA"/>
        </w:rPr>
        <w:t xml:space="preserve">] </w:t>
      </w:r>
      <w:r w:rsidRPr="00F52D1E">
        <w:rPr>
          <w:u w:val="single"/>
          <w:lang w:val="fr-CA"/>
        </w:rPr>
        <w:t>Ainsi, le titre ancestral, bien que différent des autres intérêts immobiliers de common law, est néanmoins « un intérêt foncier ».</w:t>
      </w:r>
      <w:r w:rsidRPr="00F52D1E">
        <w:rPr>
          <w:lang w:val="fr-CA"/>
        </w:rPr>
        <w:t xml:space="preserve"> En outre, il s’agit d’un « droit à la terre elle</w:t>
      </w:r>
      <w:r w:rsidRPr="00F52D1E">
        <w:rPr>
          <w:lang w:val="fr-CA"/>
        </w:rPr>
        <w:noBreakHyphen/>
        <w:t xml:space="preserve">même », qui « englobe le droit à l’utilisation et à l’occupation exclusives des terres détenues en vertu de ce titre à diverses fins, qui ne sont pas nécessairement des aspects des pratiques, coutumes et traditions autochtones faisant partie intégrante des cultures autochtones distinctives ». </w:t>
      </w:r>
      <w:r w:rsidRPr="00F52D1E">
        <w:rPr>
          <w:u w:val="single"/>
          <w:lang w:val="fr-CA"/>
        </w:rPr>
        <w:t xml:space="preserve">Ces descriptions du titre ancestral indiquent clairement qu’il s’agit d’un droit de propriété réel, bien que de nature </w:t>
      </w:r>
      <w:r w:rsidRPr="00F52D1E">
        <w:rPr>
          <w:i/>
          <w:u w:val="single"/>
          <w:lang w:val="fr-CA"/>
        </w:rPr>
        <w:t>sui generis</w:t>
      </w:r>
      <w:r w:rsidRPr="00F52D1E">
        <w:rPr>
          <w:u w:val="single"/>
          <w:lang w:val="fr-CA"/>
        </w:rPr>
        <w:t xml:space="preserve">. [. . .] Il ressort donc clairement de l’arrêt </w:t>
      </w:r>
      <w:r w:rsidRPr="00F52D1E">
        <w:rPr>
          <w:i/>
          <w:u w:val="single"/>
          <w:lang w:val="fr-CA"/>
        </w:rPr>
        <w:t>Delgamuukw</w:t>
      </w:r>
      <w:r w:rsidRPr="00F52D1E">
        <w:rPr>
          <w:u w:val="single"/>
          <w:lang w:val="fr-CA"/>
        </w:rPr>
        <w:t xml:space="preserve"> que le titre ancestral est un intérêt foncier propriétal, bien qu’il diffère de ce que le juge en chef a appelé les droits de propriété « normaux » de la common law, comme le fief simple.</w:t>
      </w:r>
      <w:r w:rsidRPr="00F52D1E">
        <w:rPr>
          <w:lang w:val="fr-CA"/>
        </w:rPr>
        <w:t xml:space="preserve"> De plus, il comprend un droit d’utilisation et d’occupation exclusifs. </w:t>
      </w:r>
      <w:r w:rsidRPr="00F52D1E">
        <w:rPr>
          <w:u w:val="single"/>
          <w:lang w:val="fr-CA"/>
        </w:rPr>
        <w:t xml:space="preserve">La nature propriétale et l’exclusivité du titre ancestral ne sont pas affectées par ses aspects </w:t>
      </w:r>
      <w:r w:rsidRPr="00F52D1E">
        <w:rPr>
          <w:i/>
          <w:u w:val="single"/>
          <w:lang w:val="fr-CA"/>
        </w:rPr>
        <w:t>sui generis</w:t>
      </w:r>
      <w:r w:rsidRPr="00F52D1E">
        <w:rPr>
          <w:u w:val="single"/>
          <w:lang w:val="fr-CA"/>
        </w:rPr>
        <w:t>, qui comprennent la source d’occupation des terres avant que la Couronne ne proclame sa souveraineté sur elles, son inaliénabilité autre que par cession à la Couronne, sa nature communautaire et les restrictions d’utilisation découlant de sa limite inhérente.</w:t>
      </w:r>
      <w:r w:rsidRPr="00F52D1E">
        <w:rPr>
          <w:lang w:val="fr-CA"/>
        </w:rPr>
        <w:t> [Nous soulignons; notes en bas de page omises; italique omis.]</w:t>
      </w:r>
    </w:p>
    <w:p w:rsidR="00CF3116" w:rsidRPr="00F52D1E" w:rsidRDefault="00CF3116" w:rsidP="00CF3116">
      <w:pPr>
        <w:pStyle w:val="Citation-AltC"/>
        <w:rPr>
          <w:lang w:val="fr-CA"/>
        </w:rPr>
      </w:pPr>
    </w:p>
    <w:p w:rsidR="00CF3116" w:rsidRPr="00F52D1E" w:rsidRDefault="00CF3116" w:rsidP="001A0377">
      <w:pPr>
        <w:pStyle w:val="Citation-AltC"/>
        <w:ind w:left="0"/>
        <w:rPr>
          <w:lang w:val="en-US"/>
        </w:rPr>
      </w:pPr>
      <w:r w:rsidRPr="00F52D1E">
        <w:rPr>
          <w:lang w:val="en-US"/>
        </w:rPr>
        <w:t xml:space="preserve">(K. McNeil, « Aboriginal Title as a Constitutionally Protected Property Right », dans O. Lippert, dir., </w:t>
      </w:r>
      <w:r w:rsidRPr="00F52D1E">
        <w:rPr>
          <w:i/>
          <w:lang w:val="en-US"/>
        </w:rPr>
        <w:t xml:space="preserve">Beyond the Nass </w:t>
      </w:r>
      <w:proofErr w:type="gramStart"/>
      <w:r w:rsidRPr="00F52D1E">
        <w:rPr>
          <w:i/>
          <w:lang w:val="en-US"/>
        </w:rPr>
        <w:t>Valley :</w:t>
      </w:r>
      <w:proofErr w:type="gramEnd"/>
      <w:r w:rsidRPr="00F52D1E">
        <w:rPr>
          <w:i/>
          <w:lang w:val="en-US"/>
        </w:rPr>
        <w:t xml:space="preserve"> National Implications of the Supreme Court’s Delgamuukw Decision</w:t>
      </w:r>
      <w:r w:rsidRPr="00F52D1E">
        <w:rPr>
          <w:lang w:val="en-US"/>
        </w:rPr>
        <w:t xml:space="preserve"> (2000), 55, p. 58 et 61)</w:t>
      </w:r>
    </w:p>
    <w:p w:rsidR="00CF3116" w:rsidRPr="00F52D1E" w:rsidRDefault="00CF3116" w:rsidP="00CF3116">
      <w:pPr>
        <w:pStyle w:val="ParaNoNdepar-AltN"/>
        <w:rPr>
          <w:rFonts w:cs="Times New Roman"/>
          <w:lang w:val="fr-CA"/>
        </w:rPr>
      </w:pPr>
      <w:r w:rsidRPr="00F52D1E">
        <w:rPr>
          <w:rFonts w:cs="Times New Roman"/>
          <w:lang w:val="fr-CA"/>
        </w:rPr>
        <w:t xml:space="preserve">Dans l’affaire </w:t>
      </w:r>
      <w:r w:rsidRPr="00F52D1E">
        <w:rPr>
          <w:rFonts w:cs="Times New Roman"/>
          <w:i/>
          <w:lang w:val="fr-CA"/>
        </w:rPr>
        <w:t>Nation Tsilhqot’in</w:t>
      </w:r>
      <w:r w:rsidRPr="00F52D1E">
        <w:rPr>
          <w:rFonts w:cs="Times New Roman"/>
          <w:lang w:val="fr-CA"/>
        </w:rPr>
        <w:t xml:space="preserve">, notre Cour a réitéré que « [l]e titre ancestral confère </w:t>
      </w:r>
      <w:r w:rsidRPr="00F52D1E">
        <w:rPr>
          <w:rFonts w:cs="Times New Roman"/>
          <w:u w:val="single"/>
          <w:lang w:val="fr-CA"/>
        </w:rPr>
        <w:t>des droits de propriété</w:t>
      </w:r>
      <w:r w:rsidRPr="00F52D1E">
        <w:rPr>
          <w:rFonts w:cs="Times New Roman"/>
          <w:lang w:val="fr-CA"/>
        </w:rPr>
        <w:t xml:space="preserve"> semblables à ceux associés à la propriété en fief simple » (par. 73 (nous soulignons)); ainsi, « [d]es analogies avec d’</w:t>
      </w:r>
      <w:r w:rsidRPr="00F52D1E">
        <w:rPr>
          <w:rFonts w:cs="Times New Roman"/>
          <w:u w:val="single"/>
          <w:lang w:val="fr-CA"/>
        </w:rPr>
        <w:t>autres</w:t>
      </w:r>
      <w:r w:rsidRPr="00F52D1E">
        <w:rPr>
          <w:rFonts w:cs="Times New Roman"/>
          <w:lang w:val="fr-CA"/>
        </w:rPr>
        <w:t xml:space="preserve"> formes de propriété — par exemple, la propriété en fief simple — peuvent être utiles pour mieux comprendre certains aspects du titre ancestral » (par. 72 (nous soulignons)) et « tout comme les </w:t>
      </w:r>
      <w:r w:rsidRPr="00F52D1E">
        <w:rPr>
          <w:rFonts w:cs="Times New Roman"/>
          <w:u w:val="single"/>
          <w:lang w:val="fr-CA"/>
        </w:rPr>
        <w:t>autres</w:t>
      </w:r>
      <w:r w:rsidRPr="00F52D1E">
        <w:rPr>
          <w:rFonts w:cs="Times New Roman"/>
          <w:lang w:val="fr-CA"/>
        </w:rPr>
        <w:t xml:space="preserve"> propriétaires fonciers, les titulaires du titre ancestral des temps modernes peuvent utiliser leurs terres de façon moderne, s’ils le veulent</w:t>
      </w:r>
      <w:r w:rsidR="009E2F25">
        <w:rPr>
          <w:rFonts w:cs="Times New Roman"/>
          <w:lang w:val="fr-CA"/>
        </w:rPr>
        <w:t> » (par. 75 (nous soulignons)).</w:t>
      </w:r>
    </w:p>
    <w:p w:rsidR="00CF3116" w:rsidRPr="00F52D1E" w:rsidRDefault="00CF3116" w:rsidP="00CF3116">
      <w:pPr>
        <w:pStyle w:val="ParaNoNdepar-AltN"/>
        <w:rPr>
          <w:rFonts w:cs="Times New Roman"/>
          <w:lang w:val="fr-CA"/>
        </w:rPr>
      </w:pPr>
      <w:r w:rsidRPr="00F52D1E">
        <w:rPr>
          <w:rFonts w:cs="Times New Roman"/>
          <w:lang w:val="fr-CA"/>
        </w:rPr>
        <w:lastRenderedPageBreak/>
        <w:t>Par ailleurs, la jurisprudence québécoise a assimilé le titre ancestral à un démembrement du droit de propriété, c’est</w:t>
      </w:r>
      <w:r w:rsidRPr="00F52D1E">
        <w:rPr>
          <w:rFonts w:cs="Times New Roman"/>
          <w:lang w:val="fr-CA"/>
        </w:rPr>
        <w:noBreakHyphen/>
        <w:t>à</w:t>
      </w:r>
      <w:r w:rsidRPr="00F52D1E">
        <w:rPr>
          <w:rFonts w:cs="Times New Roman"/>
          <w:lang w:val="fr-CA"/>
        </w:rPr>
        <w:noBreakHyphen/>
        <w:t xml:space="preserve">dire à un droit réel : </w:t>
      </w:r>
      <w:r w:rsidRPr="00F52D1E">
        <w:rPr>
          <w:rFonts w:cs="Times New Roman"/>
          <w:i/>
          <w:lang w:val="fr-CA"/>
        </w:rPr>
        <w:t>Première nation de Betsiamites c. Canada (Procureur général)</w:t>
      </w:r>
      <w:r w:rsidRPr="00F52D1E">
        <w:rPr>
          <w:rFonts w:cs="Times New Roman"/>
          <w:lang w:val="fr-CA"/>
        </w:rPr>
        <w:t xml:space="preserve">, 2006 QCCS 2111, par. 18 (CanLII) (« un titre aborigène [. . .] en langage de droit civil équivaut à un démembrement du droit de propriété »); voir également, au même effet, </w:t>
      </w:r>
      <w:r w:rsidRPr="00F52D1E">
        <w:rPr>
          <w:rFonts w:cs="Times New Roman"/>
          <w:i/>
          <w:lang w:val="fr-CA"/>
        </w:rPr>
        <w:t>Première Nation de Pessamit c. Québec (Procureur général)</w:t>
      </w:r>
      <w:r w:rsidRPr="00F52D1E">
        <w:rPr>
          <w:rFonts w:cs="Times New Roman"/>
          <w:lang w:val="fr-CA"/>
        </w:rPr>
        <w:t>, 2</w:t>
      </w:r>
      <w:r w:rsidR="009E2F25">
        <w:rPr>
          <w:rFonts w:cs="Times New Roman"/>
          <w:lang w:val="fr-CA"/>
        </w:rPr>
        <w:t>007 QCCS 794, par. 17 (CanLII).</w:t>
      </w:r>
    </w:p>
    <w:p w:rsidR="00CF3116" w:rsidRPr="00F52D1E" w:rsidRDefault="00CF3116" w:rsidP="00CF3116">
      <w:pPr>
        <w:pStyle w:val="ParaNoNdepar-AltN"/>
        <w:rPr>
          <w:rFonts w:cs="Times New Roman"/>
          <w:lang w:val="fr-CA"/>
        </w:rPr>
      </w:pPr>
      <w:r w:rsidRPr="00F52D1E">
        <w:rPr>
          <w:rFonts w:cs="Times New Roman"/>
          <w:lang w:val="en-US"/>
        </w:rPr>
        <w:t xml:space="preserve">Cela dit, la jurisprudence des provinces de common law est plus ambiguë sur cette question : </w:t>
      </w:r>
      <w:r w:rsidRPr="00F52D1E">
        <w:rPr>
          <w:rFonts w:cs="Times New Roman"/>
          <w:i/>
          <w:lang w:val="en-US"/>
        </w:rPr>
        <w:t>Xeni Gwet’in First Nations c. Riverside Forest Products Ltd.</w:t>
      </w:r>
      <w:r w:rsidRPr="00F52D1E">
        <w:rPr>
          <w:rFonts w:cs="Times New Roman"/>
          <w:lang w:val="en-US"/>
        </w:rPr>
        <w:t xml:space="preserve">, 2002 BCSC 1199, 4 B.C.L.R. (4th) 379; </w:t>
      </w:r>
      <w:r w:rsidRPr="00F52D1E">
        <w:rPr>
          <w:rFonts w:cs="Times New Roman"/>
          <w:i/>
          <w:lang w:val="en-US"/>
        </w:rPr>
        <w:t>Ahousaht Indian Band c. Attorney General of Canada</w:t>
      </w:r>
      <w:r w:rsidRPr="00F52D1E">
        <w:rPr>
          <w:rFonts w:cs="Times New Roman"/>
          <w:lang w:val="en-US"/>
        </w:rPr>
        <w:t xml:space="preserve">, 2006 BCSC 646; </w:t>
      </w:r>
      <w:r w:rsidRPr="00F52D1E">
        <w:rPr>
          <w:rFonts w:cs="Times New Roman"/>
          <w:i/>
          <w:lang w:val="en-US"/>
        </w:rPr>
        <w:t>West Moberley First Nations c. British Columbia</w:t>
      </w:r>
      <w:r w:rsidRPr="00F52D1E">
        <w:rPr>
          <w:rFonts w:cs="Times New Roman"/>
          <w:lang w:val="en-US"/>
        </w:rPr>
        <w:t>, 2007 BCSC 1324, 78 B.C.L.R. (4th)</w:t>
      </w:r>
      <w:r w:rsidRPr="00F52D1E">
        <w:rPr>
          <w:rFonts w:cs="Times New Roman"/>
          <w:vertAlign w:val="superscript"/>
          <w:lang w:val="en-US"/>
        </w:rPr>
        <w:t xml:space="preserve"> </w:t>
      </w:r>
      <w:r w:rsidRPr="00F52D1E">
        <w:rPr>
          <w:rFonts w:cs="Times New Roman"/>
          <w:lang w:val="en-US"/>
        </w:rPr>
        <w:t xml:space="preserve">83; </w:t>
      </w:r>
      <w:r w:rsidRPr="00F52D1E">
        <w:rPr>
          <w:rFonts w:cs="Times New Roman"/>
          <w:i/>
          <w:lang w:val="en-US"/>
        </w:rPr>
        <w:t>Cowichan Tribes c. Canada (Attorney General)</w:t>
      </w:r>
      <w:r w:rsidRPr="00F52D1E">
        <w:rPr>
          <w:rFonts w:cs="Times New Roman"/>
          <w:lang w:val="en-US"/>
        </w:rPr>
        <w:t xml:space="preserve">, 2017 BCSC 1575, 1 B.C.L.R. (6th) 214; </w:t>
      </w:r>
      <w:r w:rsidRPr="00F52D1E">
        <w:rPr>
          <w:rFonts w:cs="Times New Roman"/>
          <w:i/>
          <w:lang w:val="en-US"/>
        </w:rPr>
        <w:t>Council of the Haida Nation c. British Columbia</w:t>
      </w:r>
      <w:r w:rsidRPr="00F52D1E">
        <w:rPr>
          <w:rFonts w:cs="Times New Roman"/>
          <w:lang w:val="en-US"/>
        </w:rPr>
        <w:t>, 2017 BCSC 1665, 3 B.C.L.R. (6th) 346 (“</w:t>
      </w:r>
      <w:r w:rsidRPr="00F52D1E">
        <w:rPr>
          <w:rFonts w:cs="Times New Roman"/>
          <w:i/>
          <w:lang w:val="en-US"/>
        </w:rPr>
        <w:t>Council of the Haida Nation</w:t>
      </w:r>
      <w:r w:rsidRPr="00F52D1E">
        <w:rPr>
          <w:rFonts w:cs="Times New Roman"/>
          <w:lang w:val="en-US"/>
        </w:rPr>
        <w:t xml:space="preserve">”). </w:t>
      </w:r>
      <w:r w:rsidRPr="00F52D1E">
        <w:rPr>
          <w:rFonts w:cs="Times New Roman"/>
          <w:lang w:val="fr-CA"/>
        </w:rPr>
        <w:t xml:space="preserve">Pourtant, dans </w:t>
      </w:r>
      <w:r w:rsidRPr="00F52D1E">
        <w:rPr>
          <w:rFonts w:cs="Times New Roman"/>
          <w:i/>
          <w:lang w:val="fr-CA"/>
        </w:rPr>
        <w:t>Calder c. Attorney</w:t>
      </w:r>
      <w:r w:rsidRPr="00F52D1E">
        <w:rPr>
          <w:rFonts w:cs="Times New Roman"/>
          <w:i/>
          <w:lang w:val="fr-CA"/>
        </w:rPr>
        <w:noBreakHyphen/>
        <w:t>General of British Columbia</w:t>
      </w:r>
      <w:r w:rsidRPr="00F52D1E">
        <w:rPr>
          <w:rFonts w:cs="Times New Roman"/>
          <w:lang w:val="fr-CA"/>
        </w:rPr>
        <w:t xml:space="preserve"> (1969), 8 D.L.R. (3d) 59 (C.S. C.</w:t>
      </w:r>
      <w:r w:rsidRPr="00F52D1E">
        <w:rPr>
          <w:rFonts w:cs="Times New Roman"/>
          <w:lang w:val="fr-CA"/>
        </w:rPr>
        <w:noBreakHyphen/>
        <w:t>B.), le juge Gould a clairement affirmé qu’une action qui vise à obtenir un jugement déclaratoire reconnaissant l’existence d’un titre ancestral est [</w:t>
      </w:r>
      <w:r w:rsidRPr="00F52D1E">
        <w:rPr>
          <w:rFonts w:cs="Times New Roman"/>
          <w:smallCaps/>
          <w:lang w:val="fr-CA"/>
        </w:rPr>
        <w:t>traduction</w:t>
      </w:r>
      <w:r w:rsidRPr="00F52D1E">
        <w:rPr>
          <w:rFonts w:cs="Times New Roman"/>
          <w:lang w:val="fr-CA"/>
        </w:rPr>
        <w:t>] « </w:t>
      </w:r>
      <w:r w:rsidRPr="00F52D1E">
        <w:rPr>
          <w:rFonts w:cs="Times New Roman"/>
          <w:i/>
          <w:lang w:val="fr-CA"/>
        </w:rPr>
        <w:t>in rem</w:t>
      </w:r>
      <w:r w:rsidRPr="00F52D1E">
        <w:rPr>
          <w:rFonts w:cs="Times New Roman"/>
          <w:lang w:val="fr-CA"/>
        </w:rPr>
        <w:t>, en fonction de l’état du titre de propriété des terres en question » (p. 61); ce constat n’a pas été remis en question en appel ni par la Cour d’appel de la Colombie</w:t>
      </w:r>
      <w:r w:rsidRPr="00F52D1E">
        <w:rPr>
          <w:rFonts w:cs="Times New Roman"/>
          <w:lang w:val="fr-CA"/>
        </w:rPr>
        <w:noBreakHyphen/>
        <w:t>Britannique ((1970), 13 D.L.R. (3d) 64) ni par notre Cour (</w:t>
      </w:r>
      <w:r w:rsidRPr="00F52D1E">
        <w:rPr>
          <w:rFonts w:cs="Times New Roman"/>
          <w:i/>
          <w:lang w:val="fr-CA"/>
        </w:rPr>
        <w:t>Calder</w:t>
      </w:r>
      <w:r w:rsidR="009E2F25">
        <w:rPr>
          <w:rFonts w:cs="Times New Roman"/>
          <w:lang w:val="fr-CA"/>
        </w:rPr>
        <w:t xml:space="preserve"> (1973)).</w:t>
      </w:r>
    </w:p>
    <w:p w:rsidR="00CF3116" w:rsidRPr="00F52D1E" w:rsidRDefault="00CF3116" w:rsidP="00CF3116">
      <w:pPr>
        <w:pStyle w:val="ParaNoNdepar-AltN"/>
        <w:rPr>
          <w:rFonts w:cs="Times New Roman"/>
          <w:lang w:val="fr-CA"/>
        </w:rPr>
      </w:pPr>
      <w:r w:rsidRPr="00F52D1E">
        <w:rPr>
          <w:rFonts w:cs="Times New Roman"/>
          <w:lang w:val="fr-CA"/>
        </w:rPr>
        <w:t xml:space="preserve">Dans l’affaire </w:t>
      </w:r>
      <w:r w:rsidRPr="00F52D1E">
        <w:rPr>
          <w:rFonts w:cs="Times New Roman"/>
          <w:i/>
          <w:lang w:val="fr-CA"/>
        </w:rPr>
        <w:t>Delgamuukw</w:t>
      </w:r>
      <w:r w:rsidRPr="00F52D1E">
        <w:rPr>
          <w:rFonts w:cs="Times New Roman"/>
          <w:lang w:val="fr-CA"/>
        </w:rPr>
        <w:t>, le juge en chef Lamer a par ailleurs expressément mentionné qu’un jugement déclaratoire reconnaissant l’existence d’un titre ancestral sur un territoire affecterait nécessairement les droits ou intérêts de tiers à l’égard de ce même territoire, par. 185 :</w:t>
      </w:r>
    </w:p>
    <w:p w:rsidR="00CF3116" w:rsidRPr="00F52D1E" w:rsidRDefault="00CF3116" w:rsidP="00CF3116">
      <w:pPr>
        <w:pStyle w:val="Citation-AltC"/>
      </w:pPr>
      <w:r w:rsidRPr="00F52D1E">
        <w:rPr>
          <w:lang w:val="fr-CA"/>
        </w:rPr>
        <w:lastRenderedPageBreak/>
        <w:t xml:space="preserve">. . . de nombreuses nations autochtones dont les revendications territoriales chevauchent celles des appelants ne sont pas intervenues dans le présent pourvoi et ne paraissent pas l’avoir fait en première instance. Cette situation est malheureuse parce que </w:t>
      </w:r>
      <w:r w:rsidRPr="00F52D1E">
        <w:rPr>
          <w:u w:val="single"/>
          <w:lang w:val="fr-CA"/>
        </w:rPr>
        <w:t>les décisions relatives au titre aborigène des Gitksan et des Wet’suwet’en auront indubitablement un effet sur les revendications de ces autres nations autochtones, particulièrement en raison du fait que le titre aborigène comprend le droit exclusif d’utiliser et d’occuper des terres</w:t>
      </w:r>
      <w:r w:rsidRPr="00F52D1E">
        <w:rPr>
          <w:lang w:val="fr-CA"/>
        </w:rPr>
        <w:t>, c’est</w:t>
      </w:r>
      <w:r w:rsidRPr="00F52D1E">
        <w:rPr>
          <w:lang w:val="fr-CA"/>
        </w:rPr>
        <w:noBreakHyphen/>
        <w:t>à</w:t>
      </w:r>
      <w:r w:rsidRPr="00F52D1E">
        <w:rPr>
          <w:lang w:val="fr-CA"/>
        </w:rPr>
        <w:noBreakHyphen/>
        <w:t>dire de le faire à l’exclusion des non</w:t>
      </w:r>
      <w:r w:rsidRPr="00F52D1E">
        <w:rPr>
          <w:lang w:val="fr-CA"/>
        </w:rPr>
        <w:noBreakHyphen/>
        <w:t>autochtones et des membres d’autres nations autochtones. Par conséquent, peut</w:t>
      </w:r>
      <w:r w:rsidRPr="00F52D1E">
        <w:rPr>
          <w:lang w:val="fr-CA"/>
        </w:rPr>
        <w:noBreakHyphen/>
        <w:t>être serait</w:t>
      </w:r>
      <w:r w:rsidRPr="00F52D1E">
        <w:rPr>
          <w:lang w:val="fr-CA"/>
        </w:rPr>
        <w:noBreakHyphen/>
        <w:t xml:space="preserve">il souhaitable que ces autres nations autochtones interviennent dans une nouvelle instance. </w:t>
      </w:r>
      <w:r w:rsidRPr="00F52D1E">
        <w:t>[Nous soulignons; soulignement dans l’original omis.]</w:t>
      </w:r>
    </w:p>
    <w:p w:rsidR="00CF3116" w:rsidRPr="00F52D1E" w:rsidRDefault="00CF3116" w:rsidP="00CF3116">
      <w:pPr>
        <w:pStyle w:val="ParaNoNdepar-AltN"/>
        <w:rPr>
          <w:rFonts w:cs="Times New Roman"/>
          <w:lang w:val="fr-CA"/>
        </w:rPr>
      </w:pPr>
      <w:r w:rsidRPr="00F52D1E">
        <w:rPr>
          <w:rFonts w:cs="Times New Roman"/>
          <w:lang w:val="fr-CA"/>
        </w:rPr>
        <w:t xml:space="preserve">Certains passages de l’affaire </w:t>
      </w:r>
      <w:r w:rsidRPr="00F52D1E">
        <w:rPr>
          <w:rFonts w:cs="Times New Roman"/>
          <w:i/>
          <w:lang w:val="fr-CA"/>
        </w:rPr>
        <w:t>Nation Tsilhqot’in</w:t>
      </w:r>
      <w:r w:rsidRPr="00F52D1E">
        <w:rPr>
          <w:rFonts w:cs="Times New Roman"/>
          <w:lang w:val="fr-CA"/>
        </w:rPr>
        <w:t xml:space="preserve"> suggèrent tout aussi fortement qu’un jugement déclaratoire reconnaissant l’existence d’un titre ancestral serait opposable à tous, c’est</w:t>
      </w:r>
      <w:r w:rsidRPr="00F52D1E">
        <w:rPr>
          <w:rFonts w:cs="Times New Roman"/>
          <w:lang w:val="fr-CA"/>
        </w:rPr>
        <w:noBreakHyphen/>
        <w:t>à</w:t>
      </w:r>
      <w:r w:rsidRPr="00F52D1E">
        <w:rPr>
          <w:rFonts w:cs="Times New Roman"/>
          <w:lang w:val="fr-CA"/>
        </w:rPr>
        <w:noBreakHyphen/>
        <w:t>dire aux « gouvernements » mais également aux « autres personnes qui veulent utiliser les terres » : par. 76; voir aussi par. 97. De même, la doctrine reconnaît qu’il découle de la nature propriétaire et non simplement personnelle du titre ancestral qu’il s’agi</w:t>
      </w:r>
      <w:r w:rsidR="009E2F25">
        <w:rPr>
          <w:rFonts w:cs="Times New Roman"/>
          <w:lang w:val="fr-CA"/>
        </w:rPr>
        <w:t>t d’un droit opposable à tous :</w:t>
      </w:r>
    </w:p>
    <w:p w:rsidR="00CF3116" w:rsidRPr="00F52D1E" w:rsidRDefault="00CF3116" w:rsidP="00CF3116">
      <w:pPr>
        <w:pStyle w:val="Citation-AltC"/>
        <w:ind w:firstLine="274"/>
        <w:rPr>
          <w:lang w:val="fr-CA"/>
        </w:rPr>
      </w:pPr>
      <w:r w:rsidRPr="00F52D1E">
        <w:rPr>
          <w:lang w:val="fr-CA"/>
        </w:rPr>
        <w:t>[</w:t>
      </w:r>
      <w:r w:rsidRPr="00F52D1E">
        <w:rPr>
          <w:smallCaps/>
          <w:lang w:val="fr-CA"/>
        </w:rPr>
        <w:t>traduction</w:t>
      </w:r>
      <w:r w:rsidRPr="00F52D1E">
        <w:rPr>
          <w:lang w:val="fr-CA"/>
        </w:rPr>
        <w:t xml:space="preserve">] </w:t>
      </w:r>
      <w:r w:rsidRPr="00F52D1E">
        <w:rPr>
          <w:u w:val="single"/>
          <w:lang w:val="fr-CA"/>
        </w:rPr>
        <w:t>Le titre ancestral est un véritable droit de propriété qui peut être maintenu contre le monde entier, y compris la Couronne.</w:t>
      </w:r>
      <w:r w:rsidRPr="00F52D1E">
        <w:rPr>
          <w:lang w:val="fr-CA"/>
        </w:rPr>
        <w:t xml:space="preserve"> Il n'est pas détenu au gré de la Couronne et il ne peut être éteint par un acte unilatéral de la Couronne en vertu de la prérogative royale. Lorsque le titre ancestral a été éteint par une loi valide, il bénéficie de la règle de common law exigeant une juste compensation. [Nous soulignons; note en bas de page omise.]</w:t>
      </w:r>
    </w:p>
    <w:p w:rsidR="00CF3116" w:rsidRPr="00F52D1E" w:rsidRDefault="00CF3116" w:rsidP="00CF3116">
      <w:pPr>
        <w:pStyle w:val="Citation-AltC"/>
        <w:rPr>
          <w:lang w:val="fr-CA"/>
        </w:rPr>
      </w:pPr>
    </w:p>
    <w:p w:rsidR="00CF3116" w:rsidRPr="00A455EE" w:rsidRDefault="00CF3116" w:rsidP="00443FD4">
      <w:pPr>
        <w:pStyle w:val="Citation-AltC"/>
        <w:ind w:left="0"/>
        <w:rPr>
          <w:lang w:val="fr-CA"/>
        </w:rPr>
      </w:pPr>
      <w:r w:rsidRPr="00A455EE">
        <w:rPr>
          <w:lang w:val="fr-CA"/>
        </w:rPr>
        <w:t xml:space="preserve">(B. Slattery, « The Nature of Aboriginal Title », dans O. Lippert, </w:t>
      </w:r>
      <w:proofErr w:type="gramStart"/>
      <w:r w:rsidRPr="00A455EE">
        <w:rPr>
          <w:lang w:val="fr-CA"/>
        </w:rPr>
        <w:t>dir.,</w:t>
      </w:r>
      <w:proofErr w:type="gramEnd"/>
      <w:r w:rsidRPr="00A455EE">
        <w:rPr>
          <w:lang w:val="fr-CA"/>
        </w:rPr>
        <w:t xml:space="preserve"> </w:t>
      </w:r>
      <w:r w:rsidRPr="00A455EE">
        <w:rPr>
          <w:i/>
          <w:lang w:val="fr-CA"/>
        </w:rPr>
        <w:t>Beyond the Nass Valley : National Implications of the Supreme Court’s Delgamuukw Decision</w:t>
      </w:r>
      <w:r w:rsidRPr="00A455EE">
        <w:rPr>
          <w:lang w:val="fr-CA"/>
        </w:rPr>
        <w:t xml:space="preserve"> (2000), 11, p. 22; voir aussi K. McNeil, « Aboriginal Title and the Provinces after </w:t>
      </w:r>
      <w:r w:rsidRPr="00A455EE">
        <w:rPr>
          <w:i/>
          <w:lang w:val="fr-CA"/>
        </w:rPr>
        <w:t>Tsilhqot’in Nation</w:t>
      </w:r>
      <w:r w:rsidRPr="00A455EE">
        <w:rPr>
          <w:lang w:val="fr-CA"/>
        </w:rPr>
        <w:t xml:space="preserve"> » (2015), 71 </w:t>
      </w:r>
      <w:r w:rsidRPr="00A455EE">
        <w:rPr>
          <w:i/>
          <w:lang w:val="fr-CA"/>
        </w:rPr>
        <w:t>S.C.L.R.</w:t>
      </w:r>
      <w:r w:rsidRPr="00A455EE">
        <w:rPr>
          <w:lang w:val="fr-CA"/>
        </w:rPr>
        <w:t xml:space="preserve"> (2d) 67, p. 86.)</w:t>
      </w:r>
    </w:p>
    <w:p w:rsidR="00CF3116" w:rsidRPr="00F52D1E" w:rsidRDefault="00CF3116" w:rsidP="00CF3116">
      <w:pPr>
        <w:pStyle w:val="ParaNoNdepar-AltN"/>
        <w:rPr>
          <w:rFonts w:cs="Times New Roman"/>
          <w:lang w:val="fr-CA"/>
        </w:rPr>
      </w:pPr>
      <w:r w:rsidRPr="00F52D1E">
        <w:rPr>
          <w:rFonts w:cs="Times New Roman"/>
          <w:lang w:val="fr-CA"/>
        </w:rPr>
        <w:t xml:space="preserve">En somme, et à la lumière de la jurisprudence et de la doctrine pertinentes, nous concluons que le titre ancestral doit manifestement être considéré comme constituant un droit réel aux fins du droit international privé. Plus précisément, le titre ancestral </w:t>
      </w:r>
      <w:r w:rsidRPr="00F52D1E">
        <w:rPr>
          <w:rFonts w:cs="Times New Roman"/>
          <w:i/>
          <w:lang w:val="fr-CA"/>
        </w:rPr>
        <w:t>ressemble</w:t>
      </w:r>
      <w:r w:rsidRPr="00F52D1E">
        <w:rPr>
          <w:rFonts w:cs="Times New Roman"/>
          <w:lang w:val="fr-CA"/>
        </w:rPr>
        <w:t xml:space="preserve"> ou est à tout le moins </w:t>
      </w:r>
      <w:r w:rsidRPr="00F52D1E">
        <w:rPr>
          <w:rFonts w:cs="Times New Roman"/>
          <w:i/>
          <w:lang w:val="fr-CA"/>
        </w:rPr>
        <w:t>analogue</w:t>
      </w:r>
      <w:r w:rsidRPr="00F52D1E">
        <w:rPr>
          <w:rFonts w:cs="Times New Roman"/>
          <w:lang w:val="fr-CA"/>
        </w:rPr>
        <w:t xml:space="preserve"> à l’institution interne des droits </w:t>
      </w:r>
      <w:r w:rsidRPr="00F52D1E">
        <w:rPr>
          <w:rFonts w:cs="Times New Roman"/>
          <w:lang w:val="fr-CA"/>
        </w:rPr>
        <w:lastRenderedPageBreak/>
        <w:t xml:space="preserve">réels du fait </w:t>
      </w:r>
      <w:r w:rsidR="00C05B8D">
        <w:rPr>
          <w:rFonts w:cs="Times New Roman"/>
          <w:lang w:val="fr-CA"/>
        </w:rPr>
        <w:t>(</w:t>
      </w:r>
      <w:r w:rsidRPr="00F52D1E">
        <w:rPr>
          <w:rFonts w:cs="Times New Roman"/>
          <w:lang w:val="fr-CA"/>
        </w:rPr>
        <w:t xml:space="preserve">1) qu’il s’agit d’un droit sur un bien, en l’occurrence les terres assujetties au titre ancestral et </w:t>
      </w:r>
      <w:r w:rsidR="00C05B8D">
        <w:rPr>
          <w:rFonts w:cs="Times New Roman"/>
          <w:lang w:val="fr-CA"/>
        </w:rPr>
        <w:t>(</w:t>
      </w:r>
      <w:r w:rsidRPr="00F52D1E">
        <w:rPr>
          <w:rFonts w:cs="Times New Roman"/>
          <w:lang w:val="fr-CA"/>
        </w:rPr>
        <w:t xml:space="preserve">2) qu’il s’agit d’un droit opposable </w:t>
      </w:r>
      <w:r w:rsidRPr="00F52D1E">
        <w:rPr>
          <w:rFonts w:cs="Times New Roman"/>
          <w:i/>
          <w:lang w:val="fr-CA"/>
        </w:rPr>
        <w:t>erga omnes</w:t>
      </w:r>
      <w:r w:rsidRPr="00F52D1E">
        <w:rPr>
          <w:rFonts w:cs="Times New Roman"/>
          <w:lang w:val="fr-CA"/>
        </w:rPr>
        <w:t>, c’est</w:t>
      </w:r>
      <w:r w:rsidRPr="00F52D1E">
        <w:rPr>
          <w:rFonts w:cs="Times New Roman"/>
          <w:lang w:val="fr-CA"/>
        </w:rPr>
        <w:noBreakHyphen/>
        <w:t>à</w:t>
      </w:r>
      <w:r w:rsidRPr="00F52D1E">
        <w:rPr>
          <w:rFonts w:cs="Times New Roman"/>
          <w:lang w:val="fr-CA"/>
        </w:rPr>
        <w:noBreakHyphen/>
        <w:t>dire opposable aux « gouvernements » et aux « autres personnes qui veulent utiliser les terres ». Comme le souligne K. McNeil, [</w:t>
      </w:r>
      <w:r w:rsidRPr="00F52D1E">
        <w:rPr>
          <w:rFonts w:cs="Times New Roman"/>
          <w:smallCaps/>
          <w:lang w:val="fr-CA"/>
        </w:rPr>
        <w:t>traduction</w:t>
      </w:r>
      <w:r w:rsidRPr="00F52D1E">
        <w:rPr>
          <w:rFonts w:cs="Times New Roman"/>
          <w:lang w:val="fr-CA"/>
        </w:rPr>
        <w:t xml:space="preserve">] « le terme même de “titre” serait une appellation fautive si les droits fonciers des autochtones ne constituaient pas un intérêt de nature propriétale » : </w:t>
      </w:r>
      <w:r w:rsidRPr="00F52D1E">
        <w:rPr>
          <w:rFonts w:cs="Times New Roman"/>
          <w:i/>
          <w:lang w:val="fr-CA"/>
        </w:rPr>
        <w:t>The Post</w:t>
      </w:r>
      <w:r w:rsidRPr="00F52D1E">
        <w:rPr>
          <w:rFonts w:cs="Times New Roman"/>
          <w:i/>
          <w:lang w:val="fr-CA"/>
        </w:rPr>
        <w:noBreakHyphen/>
        <w:t xml:space="preserve">Delgamuukw Nature and Content of Aboriginal Title </w:t>
      </w:r>
      <w:r w:rsidRPr="00F52D1E">
        <w:rPr>
          <w:rFonts w:cs="Times New Roman"/>
          <w:lang w:val="fr-CA"/>
        </w:rPr>
        <w:t xml:space="preserve">(mai 2000) (en ligne), p. 10, référant à B. Rudden, « The Terminology of Title » (1964), 80 </w:t>
      </w:r>
      <w:r w:rsidRPr="00F52D1E">
        <w:rPr>
          <w:rFonts w:cs="Times New Roman"/>
          <w:i/>
          <w:lang w:val="fr-CA"/>
        </w:rPr>
        <w:t>L.Q.R.</w:t>
      </w:r>
      <w:r w:rsidR="009E2F25">
        <w:rPr>
          <w:rFonts w:cs="Times New Roman"/>
          <w:lang w:val="fr-CA"/>
        </w:rPr>
        <w:t xml:space="preserve"> 63.</w:t>
      </w:r>
    </w:p>
    <w:p w:rsidR="00CF3116" w:rsidRPr="00F52D1E" w:rsidRDefault="00CF3116" w:rsidP="00CF3116">
      <w:pPr>
        <w:pStyle w:val="ParaNoNdepar-AltN"/>
        <w:rPr>
          <w:rFonts w:cs="Times New Roman"/>
          <w:lang w:val="fr-CA"/>
        </w:rPr>
      </w:pPr>
      <w:r w:rsidRPr="00F52D1E">
        <w:rPr>
          <w:rFonts w:cs="Times New Roman"/>
          <w:lang w:val="fr-CA"/>
        </w:rPr>
        <w:t>Contrairement à ce qu’a suggéré à cet égard la Cour d’appel en l’espèce aux par. 13, 67</w:t>
      </w:r>
      <w:r w:rsidRPr="00F52D1E">
        <w:rPr>
          <w:rFonts w:cs="Times New Roman"/>
          <w:lang w:val="fr-CA"/>
        </w:rPr>
        <w:noBreakHyphen/>
        <w:t>69, 74</w:t>
      </w:r>
      <w:r w:rsidRPr="00F52D1E">
        <w:rPr>
          <w:rFonts w:cs="Times New Roman"/>
          <w:lang w:val="fr-CA"/>
        </w:rPr>
        <w:noBreakHyphen/>
        <w:t>77, 81</w:t>
      </w:r>
      <w:r w:rsidRPr="00F52D1E">
        <w:rPr>
          <w:rFonts w:cs="Times New Roman"/>
          <w:lang w:val="fr-CA"/>
        </w:rPr>
        <w:noBreakHyphen/>
        <w:t xml:space="preserve">82 et 85 de ses motifs, le caractère </w:t>
      </w:r>
      <w:r w:rsidRPr="00F52D1E">
        <w:rPr>
          <w:rFonts w:cs="Times New Roman"/>
          <w:i/>
          <w:lang w:val="fr-CA"/>
        </w:rPr>
        <w:t>sui generis</w:t>
      </w:r>
      <w:r w:rsidRPr="00F52D1E">
        <w:rPr>
          <w:rFonts w:cs="Times New Roman"/>
          <w:lang w:val="fr-CA"/>
        </w:rPr>
        <w:t xml:space="preserve"> du titre ancestral n’empêche pas de conclure qu’il s’agit d’un intérêt de propriété (ou, plus précisément, d’un droit réel) pour les besoins du droit international privé. La Cour d’appel a conclu que l’action des Innus serait « principalement [u]ne action personnelle » à l’égard de laquelle les autorités québécoises seraient « compétent[e]s puisqu’IOC et QNS&amp;L ont leur siège au Québec » et puisque les Innus allèguent un préjudice subi au Québec : par. 15, 52 et 95, référant </w:t>
      </w:r>
      <w:proofErr w:type="gramStart"/>
      <w:r w:rsidRPr="00F52D1E">
        <w:rPr>
          <w:rFonts w:cs="Times New Roman"/>
          <w:lang w:val="fr-CA"/>
        </w:rPr>
        <w:t>aux art</w:t>
      </w:r>
      <w:proofErr w:type="gramEnd"/>
      <w:r w:rsidRPr="00F52D1E">
        <w:rPr>
          <w:rFonts w:cs="Times New Roman"/>
          <w:lang w:val="fr-CA"/>
        </w:rPr>
        <w:t xml:space="preserve">. 3134 et 3148 al. 1(1) et (3) </w:t>
      </w:r>
      <w:r w:rsidRPr="00F52D1E">
        <w:rPr>
          <w:rFonts w:cs="Times New Roman"/>
          <w:i/>
          <w:lang w:val="fr-CA"/>
        </w:rPr>
        <w:t>C.c.Q.</w:t>
      </w:r>
      <w:r w:rsidRPr="00F52D1E">
        <w:rPr>
          <w:rFonts w:cs="Times New Roman"/>
          <w:lang w:val="fr-CA"/>
        </w:rPr>
        <w:t xml:space="preserve"> Pourtant, notre Cour a affirmé on ne peut plus clairement dans l’affaire </w:t>
      </w:r>
      <w:r w:rsidRPr="00F52D1E">
        <w:rPr>
          <w:rFonts w:cs="Times New Roman"/>
          <w:i/>
          <w:lang w:val="fr-CA"/>
        </w:rPr>
        <w:t>Delgamuukw</w:t>
      </w:r>
      <w:r w:rsidRPr="00F52D1E">
        <w:rPr>
          <w:rFonts w:cs="Times New Roman"/>
          <w:lang w:val="fr-CA"/>
        </w:rPr>
        <w:t xml:space="preserve"> que « c’est uniquement [par son inaliénabilité] que le titre aborigène est un droit “personnel”, et que cela ne veut pas dire qu’il ne s’agit pas d’un int</w:t>
      </w:r>
      <w:r w:rsidR="009E2F25">
        <w:rPr>
          <w:rFonts w:cs="Times New Roman"/>
          <w:lang w:val="fr-CA"/>
        </w:rPr>
        <w:t>érêt de propriété » : par. 113.</w:t>
      </w:r>
    </w:p>
    <w:p w:rsidR="00CF3116" w:rsidRPr="00F52D1E" w:rsidRDefault="00CF3116" w:rsidP="00CF3116">
      <w:pPr>
        <w:pStyle w:val="ParaNoNdepar-AltN"/>
        <w:rPr>
          <w:rFonts w:cs="Times New Roman"/>
          <w:lang w:val="fr-CA"/>
        </w:rPr>
      </w:pPr>
      <w:r w:rsidRPr="00F52D1E">
        <w:rPr>
          <w:rFonts w:cs="Times New Roman"/>
          <w:lang w:val="fr-CA"/>
        </w:rPr>
        <w:t xml:space="preserve">En effet, et au risque de nous répéter, le caractère </w:t>
      </w:r>
      <w:r w:rsidRPr="00F52D1E">
        <w:rPr>
          <w:rFonts w:cs="Times New Roman"/>
          <w:i/>
          <w:lang w:val="fr-CA"/>
        </w:rPr>
        <w:t>sui generis</w:t>
      </w:r>
      <w:r w:rsidRPr="00F52D1E">
        <w:rPr>
          <w:rFonts w:cs="Times New Roman"/>
          <w:lang w:val="fr-CA"/>
        </w:rPr>
        <w:t xml:space="preserve"> du titre ancestral ne signifie pas qu’il ne peut s’agir d’un intérêt de propriété ou d’un droit réel strictement au sens du droit international privé; ce caractère </w:t>
      </w:r>
      <w:r w:rsidRPr="00F52D1E">
        <w:rPr>
          <w:rFonts w:cs="Times New Roman"/>
          <w:i/>
          <w:lang w:val="fr-CA"/>
        </w:rPr>
        <w:t>sui generis</w:t>
      </w:r>
      <w:r w:rsidRPr="00F52D1E">
        <w:rPr>
          <w:rFonts w:cs="Times New Roman"/>
          <w:lang w:val="fr-CA"/>
        </w:rPr>
        <w:t xml:space="preserve"> se rapporte à </w:t>
      </w:r>
      <w:r w:rsidRPr="00F52D1E">
        <w:rPr>
          <w:rFonts w:cs="Times New Roman"/>
          <w:lang w:val="fr-CA"/>
        </w:rPr>
        <w:lastRenderedPageBreak/>
        <w:t xml:space="preserve">l’origine du titre ancestral — à savoir l’occupation antérieure du Canada par les peuples autochtones — de même qu’à son contenu et à certaines de ses caractéristiques. Le titre ancestral est un titre collectif; il ne peut être cédé, sauf à la Couronne; il comporte une limite intrinsèque, car les terres qui y sont assujetties ne peuvent être aménagées ou utilisées d’une façon qui priverait de manière substantielle les générations futures de leur utilisation : </w:t>
      </w:r>
      <w:r w:rsidRPr="00F52D1E">
        <w:rPr>
          <w:rFonts w:cs="Times New Roman"/>
          <w:i/>
          <w:lang w:val="fr-CA"/>
        </w:rPr>
        <w:t>Delgamuukw</w:t>
      </w:r>
      <w:r w:rsidRPr="00F52D1E">
        <w:rPr>
          <w:rFonts w:cs="Times New Roman"/>
          <w:lang w:val="fr-CA"/>
        </w:rPr>
        <w:t>, par. 112</w:t>
      </w:r>
      <w:r w:rsidRPr="00F52D1E">
        <w:rPr>
          <w:rFonts w:cs="Times New Roman"/>
          <w:lang w:val="fr-CA"/>
        </w:rPr>
        <w:noBreakHyphen/>
        <w:t>115, 117 et 125</w:t>
      </w:r>
      <w:r w:rsidRPr="00F52D1E">
        <w:rPr>
          <w:rFonts w:cs="Times New Roman"/>
          <w:lang w:val="fr-CA"/>
        </w:rPr>
        <w:noBreakHyphen/>
        <w:t xml:space="preserve">132; </w:t>
      </w:r>
      <w:r w:rsidRPr="00F52D1E">
        <w:rPr>
          <w:rFonts w:cs="Times New Roman"/>
          <w:i/>
          <w:lang w:val="fr-CA"/>
        </w:rPr>
        <w:t>Nation Tsilhqot’in</w:t>
      </w:r>
      <w:r w:rsidRPr="00F52D1E">
        <w:rPr>
          <w:rFonts w:cs="Times New Roman"/>
          <w:lang w:val="fr-CA"/>
        </w:rPr>
        <w:t>, par. 15, 72</w:t>
      </w:r>
      <w:r w:rsidRPr="00F52D1E">
        <w:rPr>
          <w:rFonts w:cs="Times New Roman"/>
          <w:lang w:val="fr-CA"/>
        </w:rPr>
        <w:noBreakHyphen/>
        <w:t>75 et 121. L’origine, le contenu et les caractéristiques du titre ancestral ne peuvent tout simplement pas être entièrement expliqués en fonction des règles du droit des biens en common law ou en droit civil. C’est ce que signifie le qualificatif « </w:t>
      </w:r>
      <w:r w:rsidRPr="00F52D1E">
        <w:rPr>
          <w:rFonts w:cs="Times New Roman"/>
          <w:i/>
          <w:lang w:val="fr-CA"/>
        </w:rPr>
        <w:t>sui generis</w:t>
      </w:r>
      <w:r w:rsidRPr="00F52D1E">
        <w:rPr>
          <w:rFonts w:cs="Times New Roman"/>
          <w:lang w:val="fr-CA"/>
        </w:rPr>
        <w:t xml:space="preserve"> » employé à propos du titre ancestral, </w:t>
      </w:r>
      <w:r w:rsidRPr="00F52D1E">
        <w:rPr>
          <w:rFonts w:cs="Times New Roman"/>
          <w:i/>
          <w:lang w:val="fr-CA"/>
        </w:rPr>
        <w:t>rien d’autre</w:t>
      </w:r>
      <w:r w:rsidRPr="00F52D1E">
        <w:rPr>
          <w:rFonts w:cs="Times New Roman"/>
          <w:lang w:val="fr-CA"/>
        </w:rPr>
        <w:t xml:space="preserve"> : voir, à ce sujet, McNeil, « Aboriginal Title as a Constitutionally Protected Property Right », p. 61. Ainsi, le caractère </w:t>
      </w:r>
      <w:r w:rsidRPr="00F52D1E">
        <w:rPr>
          <w:rFonts w:cs="Times New Roman"/>
          <w:i/>
          <w:lang w:val="fr-CA"/>
        </w:rPr>
        <w:t>sui generis</w:t>
      </w:r>
      <w:r w:rsidRPr="00F52D1E">
        <w:rPr>
          <w:rFonts w:cs="Times New Roman"/>
          <w:lang w:val="fr-CA"/>
        </w:rPr>
        <w:t xml:space="preserve"> du titre ancestral n’empêche pas sa qualification au sens du droit civil pour les fins du droit international privé.</w:t>
      </w:r>
    </w:p>
    <w:p w:rsidR="00CF3116" w:rsidRPr="00F52D1E" w:rsidRDefault="00CF3116" w:rsidP="00CF3116">
      <w:pPr>
        <w:pStyle w:val="Title5LevelTitre5Niveau"/>
        <w:tabs>
          <w:tab w:val="num" w:pos="1080"/>
        </w:tabs>
        <w:ind w:left="1080" w:hanging="450"/>
        <w:rPr>
          <w:rFonts w:cs="Times New Roman"/>
          <w:lang w:val="fr-CA"/>
        </w:rPr>
      </w:pPr>
      <w:r w:rsidRPr="00F52D1E">
        <w:rPr>
          <w:rFonts w:cs="Times New Roman"/>
          <w:lang w:val="fr-CA"/>
        </w:rPr>
        <w:t>Autres droits ancestraux ou issus de traités</w:t>
      </w:r>
    </w:p>
    <w:p w:rsidR="00CF3116" w:rsidRPr="00F52D1E" w:rsidRDefault="00CF3116" w:rsidP="00CF3116">
      <w:pPr>
        <w:pStyle w:val="ParaNoNdepar-AltN"/>
        <w:rPr>
          <w:rFonts w:cs="Times New Roman"/>
          <w:lang w:val="fr-CA"/>
        </w:rPr>
      </w:pPr>
      <w:r w:rsidRPr="00F52D1E">
        <w:rPr>
          <w:rFonts w:cs="Times New Roman"/>
          <w:lang w:val="fr-CA"/>
        </w:rPr>
        <w:t xml:space="preserve">Ce que nous venons d’expliquer au sujet du caractère </w:t>
      </w:r>
      <w:r w:rsidRPr="00F52D1E">
        <w:rPr>
          <w:rFonts w:cs="Times New Roman"/>
          <w:i/>
          <w:lang w:val="fr-CA"/>
        </w:rPr>
        <w:t>sui generis</w:t>
      </w:r>
      <w:r w:rsidRPr="00F52D1E">
        <w:rPr>
          <w:rFonts w:cs="Times New Roman"/>
          <w:lang w:val="fr-CA"/>
        </w:rPr>
        <w:t xml:space="preserve"> du titre ancestral s’applique </w:t>
      </w:r>
      <w:r w:rsidRPr="00F52D1E">
        <w:rPr>
          <w:rFonts w:cs="Times New Roman"/>
          <w:i/>
          <w:lang w:val="fr-CA"/>
        </w:rPr>
        <w:t>mutatis mutandis</w:t>
      </w:r>
      <w:r w:rsidRPr="00F52D1E">
        <w:rPr>
          <w:rFonts w:cs="Times New Roman"/>
          <w:lang w:val="fr-CA"/>
        </w:rPr>
        <w:t xml:space="preserve"> aux autres droits ancestraux ou issus de traités, à propos desquels notre Cour a également employé ce qualificatif : </w:t>
      </w:r>
      <w:r w:rsidRPr="00F52D1E">
        <w:rPr>
          <w:rFonts w:cs="Times New Roman"/>
          <w:i/>
          <w:lang w:val="fr-CA"/>
        </w:rPr>
        <w:t>Sparrow</w:t>
      </w:r>
      <w:r w:rsidRPr="00F52D1E">
        <w:rPr>
          <w:rFonts w:cs="Times New Roman"/>
          <w:lang w:val="fr-CA"/>
        </w:rPr>
        <w:t xml:space="preserve">, p. 1112; </w:t>
      </w:r>
      <w:r w:rsidRPr="00F52D1E">
        <w:rPr>
          <w:rFonts w:cs="Times New Roman"/>
          <w:i/>
          <w:lang w:val="fr-CA"/>
        </w:rPr>
        <w:t>R. c. Sundown</w:t>
      </w:r>
      <w:r w:rsidRPr="00F52D1E">
        <w:rPr>
          <w:rFonts w:cs="Times New Roman"/>
          <w:lang w:val="fr-CA"/>
        </w:rPr>
        <w:t xml:space="preserve">, [1999] 1 R.C.S. 393, par. 35. Comme l’a souligné le juge en chef Lamer dans l’affaire </w:t>
      </w:r>
      <w:r w:rsidRPr="00F52D1E">
        <w:rPr>
          <w:rFonts w:cs="Times New Roman"/>
          <w:i/>
          <w:lang w:val="fr-CA"/>
        </w:rPr>
        <w:t>Delgamuukw</w:t>
      </w:r>
      <w:r w:rsidRPr="00F52D1E">
        <w:rPr>
          <w:rFonts w:cs="Times New Roman"/>
          <w:lang w:val="fr-CA"/>
        </w:rPr>
        <w:t>, les droits ancestraux « s’étalent le long d’un spectre, en fonction de leur degré de rattachement avec le territoire visé » : par. 138.</w:t>
      </w:r>
    </w:p>
    <w:p w:rsidR="00CF3116" w:rsidRPr="00F52D1E" w:rsidRDefault="00CF3116" w:rsidP="00CF3116">
      <w:pPr>
        <w:pStyle w:val="ParaNoNdepar-AltN"/>
        <w:rPr>
          <w:rFonts w:cs="Times New Roman"/>
          <w:lang w:val="fr-CA"/>
        </w:rPr>
      </w:pPr>
      <w:r w:rsidRPr="00F52D1E">
        <w:rPr>
          <w:rFonts w:cs="Times New Roman"/>
          <w:lang w:val="fr-CA"/>
        </w:rPr>
        <w:t xml:space="preserve">Toujours dans l’affaire </w:t>
      </w:r>
      <w:r w:rsidRPr="00F52D1E">
        <w:rPr>
          <w:rFonts w:cs="Times New Roman"/>
          <w:i/>
          <w:lang w:val="fr-CA"/>
        </w:rPr>
        <w:t>Delgamuukw</w:t>
      </w:r>
      <w:r w:rsidRPr="00F52D1E">
        <w:rPr>
          <w:rFonts w:cs="Times New Roman"/>
          <w:lang w:val="fr-CA"/>
        </w:rPr>
        <w:t>, notre Cour indiquait « [qu’é</w:t>
      </w:r>
      <w:proofErr w:type="gramStart"/>
      <w:r w:rsidRPr="00F52D1E">
        <w:rPr>
          <w:rFonts w:cs="Times New Roman"/>
          <w:lang w:val="fr-CA"/>
        </w:rPr>
        <w:t>]tant</w:t>
      </w:r>
      <w:proofErr w:type="gramEnd"/>
      <w:r w:rsidRPr="00F52D1E">
        <w:rPr>
          <w:rFonts w:cs="Times New Roman"/>
          <w:lang w:val="fr-CA"/>
        </w:rPr>
        <w:t xml:space="preserve"> donné que les droits ancestraux peuvent varier en fonction de leur degré de rattachement au territoire, il est possible que certains groupes autochtones soient </w:t>
      </w:r>
      <w:r w:rsidRPr="00F52D1E">
        <w:rPr>
          <w:rFonts w:cs="Times New Roman"/>
          <w:lang w:val="fr-CA"/>
        </w:rPr>
        <w:lastRenderedPageBreak/>
        <w:t>incapables d’établir le bien</w:t>
      </w:r>
      <w:r w:rsidRPr="00F52D1E">
        <w:rPr>
          <w:rFonts w:cs="Times New Roman"/>
          <w:lang w:val="fr-CA"/>
        </w:rPr>
        <w:noBreakHyphen/>
        <w:t xml:space="preserve">fondé de leur revendication d’un titre, mais qu’ils possèdent néanmoins des droits ancestraux reconnus et confirmés par le par. 35(1), notamment des droits — spécifiques à un site — d’exercer des activités particulières » : par. 139. Même s’il est possible — comme le reconnaît d’ailleurs le PGTNL dans son mémoire (par. 79) — que certaines coutumes, pratiques ou traditions autochtones ne se rattachent à </w:t>
      </w:r>
      <w:r w:rsidRPr="00F52D1E">
        <w:rPr>
          <w:rFonts w:cs="Times New Roman"/>
          <w:i/>
          <w:lang w:val="fr-CA"/>
        </w:rPr>
        <w:t xml:space="preserve">aucun </w:t>
      </w:r>
      <w:r w:rsidRPr="00F52D1E">
        <w:rPr>
          <w:rFonts w:cs="Times New Roman"/>
          <w:lang w:val="fr-CA"/>
        </w:rPr>
        <w:t xml:space="preserve">endroit ou territoire spécifique, notre Cour a néanmoins déjà souligné qu’« [u]ne coutume, pratique ou tradition autochtone valant d’être protégée en tant que droit ancestral se limitera </w:t>
      </w:r>
      <w:r w:rsidRPr="00F52D1E">
        <w:rPr>
          <w:rFonts w:cs="Times New Roman"/>
          <w:u w:val="single"/>
          <w:lang w:val="fr-CA"/>
        </w:rPr>
        <w:t>fréquemment</w:t>
      </w:r>
      <w:r w:rsidRPr="00F52D1E">
        <w:rPr>
          <w:rFonts w:cs="Times New Roman"/>
          <w:lang w:val="fr-CA"/>
        </w:rPr>
        <w:t xml:space="preserve"> à un endroit ou territoire spécifique »; par conséquent, « un droit ancestral sera </w:t>
      </w:r>
      <w:r w:rsidRPr="00F52D1E">
        <w:rPr>
          <w:rFonts w:cs="Times New Roman"/>
          <w:u w:val="single"/>
          <w:lang w:val="fr-CA"/>
        </w:rPr>
        <w:t>souvent</w:t>
      </w:r>
      <w:r w:rsidRPr="00F52D1E">
        <w:rPr>
          <w:rFonts w:cs="Times New Roman"/>
          <w:lang w:val="fr-CA"/>
        </w:rPr>
        <w:t xml:space="preserve"> défini en fonction d’un site spécifique, avec pour conséquence qu’il ne peut être exercé qu’à cet endroit » (</w:t>
      </w:r>
      <w:r w:rsidRPr="00F52D1E">
        <w:rPr>
          <w:rFonts w:cs="Times New Roman"/>
          <w:i/>
          <w:lang w:val="fr-CA"/>
        </w:rPr>
        <w:t>R. c. Côté</w:t>
      </w:r>
      <w:r w:rsidRPr="00F52D1E">
        <w:rPr>
          <w:rFonts w:cs="Times New Roman"/>
          <w:lang w:val="fr-CA"/>
        </w:rPr>
        <w:t xml:space="preserve">, [1996] 3 R.C.S. 139, par. 39 (nous soulignons); voir aussi </w:t>
      </w:r>
      <w:r w:rsidRPr="00F52D1E">
        <w:rPr>
          <w:rFonts w:cs="Times New Roman"/>
          <w:i/>
          <w:lang w:val="fr-CA"/>
        </w:rPr>
        <w:t>R. c. Sappier</w:t>
      </w:r>
      <w:r w:rsidRPr="00F52D1E">
        <w:rPr>
          <w:rFonts w:cs="Times New Roman"/>
          <w:lang w:val="fr-CA"/>
        </w:rPr>
        <w:t xml:space="preserve">, 2006 CSC 54, [2006] 2 R.C.S. 686, par. 50; </w:t>
      </w:r>
      <w:r w:rsidRPr="00F52D1E">
        <w:rPr>
          <w:rFonts w:cs="Times New Roman"/>
          <w:i/>
          <w:lang w:val="fr-CA"/>
        </w:rPr>
        <w:t>Mitchell c. M.R.N.</w:t>
      </w:r>
      <w:r w:rsidRPr="00F52D1E">
        <w:rPr>
          <w:rFonts w:cs="Times New Roman"/>
          <w:lang w:val="fr-CA"/>
        </w:rPr>
        <w:t>, 2001 CSC 33, [2001] 1 R.C.S. 911, par. 55</w:t>
      </w:r>
      <w:r w:rsidRPr="00F52D1E">
        <w:rPr>
          <w:rFonts w:cs="Times New Roman"/>
          <w:lang w:val="fr-CA"/>
        </w:rPr>
        <w:noBreakHyphen/>
        <w:t>56). Nous sommes d’avis que c’est le cas ici puisque — selon les propres allégations de l’action des Innus et leur admission à cet effet dans l’avis de question</w:t>
      </w:r>
      <w:r w:rsidR="00CD1AB8">
        <w:rPr>
          <w:rFonts w:cs="Times New Roman"/>
          <w:lang w:val="fr-CA"/>
        </w:rPr>
        <w:t>s</w:t>
      </w:r>
      <w:r w:rsidRPr="00F52D1E">
        <w:rPr>
          <w:rFonts w:cs="Times New Roman"/>
          <w:lang w:val="fr-CA"/>
        </w:rPr>
        <w:t xml:space="preserve"> constitutionnelles — les droits ancestraux ou issus de traités qu’ils revendiquent </w:t>
      </w:r>
      <w:r w:rsidRPr="00F52D1E">
        <w:rPr>
          <w:rFonts w:cs="Times New Roman"/>
          <w:i/>
          <w:lang w:val="fr-CA"/>
        </w:rPr>
        <w:t>se rattachent</w:t>
      </w:r>
      <w:r w:rsidRPr="00F52D1E">
        <w:rPr>
          <w:rFonts w:cs="Times New Roman"/>
          <w:lang w:val="fr-CA"/>
        </w:rPr>
        <w:t xml:space="preserve"> au Nitassinan, par exemple :</w:t>
      </w:r>
    </w:p>
    <w:p w:rsidR="00CF3116" w:rsidRPr="00F52D1E" w:rsidRDefault="00CF3116" w:rsidP="00CF3116">
      <w:pPr>
        <w:pStyle w:val="Citation-AltC"/>
        <w:ind w:firstLine="274"/>
        <w:rPr>
          <w:lang w:val="fr-CA"/>
        </w:rPr>
      </w:pPr>
      <w:r w:rsidRPr="00F52D1E">
        <w:rPr>
          <w:lang w:val="fr-CA"/>
        </w:rPr>
        <w:t>Les demandeurs les Innus de UM</w:t>
      </w:r>
      <w:r w:rsidRPr="00F52D1E">
        <w:rPr>
          <w:lang w:val="fr-CA"/>
        </w:rPr>
        <w:noBreakHyphen/>
        <w:t xml:space="preserve">MLJ et leurs ancêtres ont, bien avant le contact avec les Européens et ce jusqu’à ce jour, utilisé et fréquenté </w:t>
      </w:r>
      <w:r w:rsidRPr="00F52D1E">
        <w:rPr>
          <w:u w:val="single"/>
          <w:lang w:val="fr-CA"/>
        </w:rPr>
        <w:t>le Nitassinan au Québec et au Labrador</w:t>
      </w:r>
      <w:r w:rsidRPr="00F52D1E">
        <w:rPr>
          <w:lang w:val="fr-CA"/>
        </w:rPr>
        <w:t xml:space="preserve"> en pratiquant leur mode de vie unique qui comprend notamment </w:t>
      </w:r>
      <w:r w:rsidRPr="00F52D1E">
        <w:rPr>
          <w:u w:val="single"/>
          <w:lang w:val="fr-CA"/>
        </w:rPr>
        <w:t>la chasse, la pêche, le piégeage et la cueillette</w:t>
      </w:r>
      <w:r w:rsidR="009E2F25">
        <w:rPr>
          <w:lang w:val="fr-CA"/>
        </w:rPr>
        <w:t>.</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Avant le contact avec les Européens et depuis, les demandeurs les Innus de UM</w:t>
      </w:r>
      <w:r w:rsidRPr="00F52D1E">
        <w:rPr>
          <w:lang w:val="fr-CA"/>
        </w:rPr>
        <w:noBreakHyphen/>
        <w:t xml:space="preserve">MLJ et leurs ancêtres exercent et ont exercé, </w:t>
      </w:r>
      <w:r w:rsidRPr="00F52D1E">
        <w:rPr>
          <w:u w:val="single"/>
          <w:lang w:val="fr-CA"/>
        </w:rPr>
        <w:t>dans le Nitassinan</w:t>
      </w:r>
      <w:r w:rsidRPr="00F52D1E">
        <w:rPr>
          <w:lang w:val="fr-CA"/>
        </w:rPr>
        <w:t xml:space="preserve">, des </w:t>
      </w:r>
      <w:r w:rsidRPr="00F52D1E">
        <w:rPr>
          <w:u w:val="single"/>
          <w:lang w:val="fr-CA"/>
        </w:rPr>
        <w:t>coutumes, pratiques et traditions</w:t>
      </w:r>
      <w:r w:rsidRPr="00F52D1E">
        <w:rPr>
          <w:lang w:val="fr-CA"/>
        </w:rPr>
        <w:t xml:space="preserve"> fondamentales de la culture distinctive de</w:t>
      </w:r>
      <w:r w:rsidR="009E2F25">
        <w:rPr>
          <w:lang w:val="fr-CA"/>
        </w:rPr>
        <w:t xml:space="preserve"> leur société autochtone innue.</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Les demandeurs les Innus de UM</w:t>
      </w:r>
      <w:r w:rsidRPr="00F52D1E">
        <w:rPr>
          <w:lang w:val="fr-CA"/>
        </w:rPr>
        <w:noBreakHyphen/>
        <w:t xml:space="preserve">MLJ et leurs ancêtres ont continûment </w:t>
      </w:r>
      <w:r w:rsidRPr="00F52D1E">
        <w:rPr>
          <w:u w:val="single"/>
          <w:lang w:val="fr-CA"/>
        </w:rPr>
        <w:t>dans leur Nitassinan</w:t>
      </w:r>
      <w:r w:rsidR="009E2F25">
        <w:rPr>
          <w:lang w:val="fr-CA"/>
        </w:rPr>
        <w:t> :</w:t>
      </w:r>
    </w:p>
    <w:p w:rsidR="00CF3116" w:rsidRPr="00F52D1E" w:rsidRDefault="00CF3116" w:rsidP="00CF3116">
      <w:pPr>
        <w:pStyle w:val="Citation-AltC"/>
        <w:rPr>
          <w:lang w:val="fr-CA"/>
        </w:rPr>
      </w:pPr>
    </w:p>
    <w:p w:rsidR="00CF3116" w:rsidRPr="00F52D1E" w:rsidRDefault="00A455EE" w:rsidP="00CF3116">
      <w:pPr>
        <w:pStyle w:val="Citation-AltC"/>
        <w:ind w:left="1800" w:hanging="360"/>
        <w:rPr>
          <w:lang w:val="fr-CA"/>
        </w:rPr>
      </w:pPr>
      <w:r>
        <w:rPr>
          <w:lang w:val="fr-CA"/>
        </w:rPr>
        <w:t>(</w:t>
      </w:r>
      <w:r w:rsidR="00CF3116" w:rsidRPr="00F52D1E">
        <w:rPr>
          <w:lang w:val="fr-CA"/>
        </w:rPr>
        <w:t>a)</w:t>
      </w:r>
      <w:r w:rsidR="00CF3116" w:rsidRPr="00F52D1E">
        <w:rPr>
          <w:lang w:val="fr-CA"/>
        </w:rPr>
        <w:tab/>
        <w:t xml:space="preserve">vécu </w:t>
      </w:r>
      <w:r w:rsidR="00CF3116" w:rsidRPr="00F52D1E">
        <w:rPr>
          <w:u w:val="single"/>
          <w:lang w:val="fr-CA"/>
        </w:rPr>
        <w:t>dans le Nitassinan</w:t>
      </w:r>
      <w:r w:rsidR="00CF3116" w:rsidRPr="00F52D1E">
        <w:rPr>
          <w:lang w:val="fr-CA"/>
        </w:rPr>
        <w:t>, donné naissance et élevé leurs enfants, veillé leurs morts et pris soin de leur donner une sépulture, le tout sel</w:t>
      </w:r>
      <w:r w:rsidR="009E2F25">
        <w:rPr>
          <w:lang w:val="fr-CA"/>
        </w:rPr>
        <w:t>on leur mode de vie spécifique;</w:t>
      </w:r>
    </w:p>
    <w:p w:rsidR="00CF3116" w:rsidRPr="00F52D1E" w:rsidRDefault="00CF3116" w:rsidP="00CF3116">
      <w:pPr>
        <w:pStyle w:val="Citation-AltC"/>
        <w:rPr>
          <w:lang w:val="fr-CA"/>
        </w:rPr>
      </w:pPr>
    </w:p>
    <w:p w:rsidR="00CF3116" w:rsidRPr="00F52D1E" w:rsidRDefault="00A455EE" w:rsidP="00CF3116">
      <w:pPr>
        <w:pStyle w:val="Citation-AltC"/>
        <w:ind w:left="1800" w:hanging="360"/>
        <w:rPr>
          <w:lang w:val="fr-CA"/>
        </w:rPr>
      </w:pPr>
      <w:r>
        <w:rPr>
          <w:lang w:val="fr-CA"/>
        </w:rPr>
        <w:t>(</w:t>
      </w:r>
      <w:r w:rsidR="00CF3116" w:rsidRPr="00F52D1E">
        <w:rPr>
          <w:lang w:val="fr-CA"/>
        </w:rPr>
        <w:t>b)</w:t>
      </w:r>
      <w:r w:rsidR="00CF3116" w:rsidRPr="00F52D1E">
        <w:rPr>
          <w:lang w:val="fr-CA"/>
        </w:rPr>
        <w:tab/>
        <w:t>c</w:t>
      </w:r>
      <w:r w:rsidR="009E2F25">
        <w:rPr>
          <w:lang w:val="fr-CA"/>
        </w:rPr>
        <w:t>hassé, pêché, piégé et cueilli;</w:t>
      </w:r>
    </w:p>
    <w:p w:rsidR="00CF3116" w:rsidRPr="00F52D1E" w:rsidRDefault="00CF3116" w:rsidP="00CF3116">
      <w:pPr>
        <w:pStyle w:val="Citation-AltC"/>
        <w:rPr>
          <w:lang w:val="fr-CA"/>
        </w:rPr>
      </w:pPr>
    </w:p>
    <w:p w:rsidR="00CF3116" w:rsidRPr="00F52D1E" w:rsidRDefault="00A455EE" w:rsidP="00CF3116">
      <w:pPr>
        <w:pStyle w:val="Citation-AltC"/>
        <w:ind w:left="1800" w:hanging="360"/>
        <w:rPr>
          <w:lang w:val="fr-CA"/>
        </w:rPr>
      </w:pPr>
      <w:r>
        <w:rPr>
          <w:lang w:val="fr-CA"/>
        </w:rPr>
        <w:t>(</w:t>
      </w:r>
      <w:r w:rsidR="00CF3116" w:rsidRPr="00F52D1E">
        <w:rPr>
          <w:lang w:val="fr-CA"/>
        </w:rPr>
        <w:t>c)</w:t>
      </w:r>
      <w:r w:rsidR="00CF3116" w:rsidRPr="00F52D1E">
        <w:rPr>
          <w:lang w:val="fr-CA"/>
        </w:rPr>
        <w:tab/>
        <w:t>exploité, utilisé et joui des ressources naturelles et fait u</w:t>
      </w:r>
      <w:r w:rsidR="009E2F25">
        <w:rPr>
          <w:lang w:val="fr-CA"/>
        </w:rPr>
        <w:t>sage de ses fruits et produits;</w:t>
      </w:r>
    </w:p>
    <w:p w:rsidR="00CF3116" w:rsidRPr="00F52D1E" w:rsidRDefault="00CF3116" w:rsidP="00CF3116">
      <w:pPr>
        <w:pStyle w:val="Citation-AltC"/>
        <w:rPr>
          <w:lang w:val="fr-CA"/>
        </w:rPr>
      </w:pPr>
    </w:p>
    <w:p w:rsidR="00CF3116" w:rsidRPr="00F52D1E" w:rsidRDefault="00A455EE" w:rsidP="00CF3116">
      <w:pPr>
        <w:pStyle w:val="Citation-AltC"/>
        <w:ind w:left="1800" w:hanging="360"/>
        <w:rPr>
          <w:lang w:val="fr-CA"/>
        </w:rPr>
      </w:pPr>
      <w:r>
        <w:rPr>
          <w:lang w:val="fr-CA"/>
        </w:rPr>
        <w:t>(</w:t>
      </w:r>
      <w:r w:rsidR="00CF3116" w:rsidRPr="00F52D1E">
        <w:rPr>
          <w:lang w:val="fr-CA"/>
        </w:rPr>
        <w:t>d)</w:t>
      </w:r>
      <w:r w:rsidR="00CF3116" w:rsidRPr="00F52D1E">
        <w:rPr>
          <w:lang w:val="fr-CA"/>
        </w:rPr>
        <w:tab/>
        <w:t>obtenu leurs moyens de subsistance et subsisté grâce aux ressourc</w:t>
      </w:r>
      <w:r w:rsidR="009E2F25">
        <w:rPr>
          <w:lang w:val="fr-CA"/>
        </w:rPr>
        <w:t>es naturelles qui s’y trouvent;</w:t>
      </w:r>
    </w:p>
    <w:p w:rsidR="00CF3116" w:rsidRPr="00F52D1E" w:rsidRDefault="00CF3116" w:rsidP="00CF3116">
      <w:pPr>
        <w:pStyle w:val="Citation-AltC"/>
        <w:rPr>
          <w:lang w:val="fr-CA"/>
        </w:rPr>
      </w:pPr>
    </w:p>
    <w:p w:rsidR="00CF3116" w:rsidRPr="00F52D1E" w:rsidRDefault="00A455EE" w:rsidP="00CF3116">
      <w:pPr>
        <w:pStyle w:val="Citation-AltC"/>
        <w:ind w:left="1800" w:hanging="360"/>
        <w:rPr>
          <w:lang w:val="fr-CA"/>
        </w:rPr>
      </w:pPr>
      <w:r>
        <w:rPr>
          <w:lang w:val="fr-CA"/>
        </w:rPr>
        <w:t>(</w:t>
      </w:r>
      <w:r w:rsidR="00CF3116" w:rsidRPr="00F52D1E">
        <w:rPr>
          <w:lang w:val="fr-CA"/>
        </w:rPr>
        <w:t>e)</w:t>
      </w:r>
      <w:r w:rsidR="00CF3116" w:rsidRPr="00F52D1E">
        <w:rPr>
          <w:lang w:val="fr-CA"/>
        </w:rPr>
        <w:tab/>
        <w:t xml:space="preserve">bénéficié économiquement </w:t>
      </w:r>
      <w:r w:rsidR="00CF3116" w:rsidRPr="00F52D1E">
        <w:rPr>
          <w:u w:val="single"/>
          <w:lang w:val="fr-CA"/>
        </w:rPr>
        <w:t>de leurs territoires</w:t>
      </w:r>
      <w:r w:rsidR="009E2F25">
        <w:rPr>
          <w:lang w:val="fr-CA"/>
        </w:rPr>
        <w:t>;</w:t>
      </w:r>
    </w:p>
    <w:p w:rsidR="00CF3116" w:rsidRPr="00F52D1E" w:rsidRDefault="00CF3116" w:rsidP="00CF3116">
      <w:pPr>
        <w:pStyle w:val="Citation-AltC"/>
        <w:ind w:firstLine="274"/>
        <w:rPr>
          <w:lang w:val="fr-CA"/>
        </w:rPr>
      </w:pPr>
    </w:p>
    <w:p w:rsidR="00CF3116" w:rsidRPr="00F52D1E" w:rsidRDefault="00CF3116" w:rsidP="00CF3116">
      <w:pPr>
        <w:pStyle w:val="Citation-AltC"/>
        <w:ind w:firstLine="274"/>
        <w:jc w:val="center"/>
        <w:rPr>
          <w:lang w:val="fr-CA"/>
        </w:rPr>
      </w:pPr>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L’exercice de ces coutumes, pratiques et traditions et de ce mode de vie basé sur la chasse, la pêche, le piégeage et la cueillette s’est effectivement poursuivi bien après le contact avec les Européens et jusqu’à ce jour sans ex</w:t>
      </w:r>
      <w:r w:rsidR="009E2F25">
        <w:rPr>
          <w:lang w:val="fr-CA"/>
        </w:rPr>
        <w:t>tinction ou cession volontaire.</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u w:val="single"/>
          <w:lang w:val="fr-CA"/>
        </w:rPr>
        <w:t>Les activités, les faits et les rapports décrits aux paragraphes 44 à 47</w:t>
      </w:r>
      <w:r w:rsidRPr="00F52D1E">
        <w:rPr>
          <w:lang w:val="fr-CA"/>
        </w:rPr>
        <w:t xml:space="preserve"> constituent des coutumes, pratiques et traditions qui font partie intégrante de la culture distinctive des demandeurs, </w:t>
      </w:r>
      <w:r w:rsidRPr="00F52D1E">
        <w:rPr>
          <w:u w:val="single"/>
          <w:lang w:val="fr-CA"/>
        </w:rPr>
        <w:t>ont un lien étroit avec le territoire</w:t>
      </w:r>
      <w:r w:rsidRPr="00F52D1E">
        <w:rPr>
          <w:lang w:val="fr-CA"/>
        </w:rPr>
        <w:t xml:space="preserve"> et étaient et sont </w:t>
      </w:r>
      <w:r w:rsidR="009E2F25">
        <w:rPr>
          <w:lang w:val="fr-CA"/>
        </w:rPr>
        <w:t>au cœur de leur identité innue.</w:t>
      </w:r>
    </w:p>
    <w:p w:rsidR="00CF3116" w:rsidRPr="00F52D1E" w:rsidRDefault="00CF3116" w:rsidP="00CF3116">
      <w:pPr>
        <w:pStyle w:val="Citation-AltC"/>
        <w:ind w:firstLine="274"/>
        <w:rPr>
          <w:lang w:val="fr-CA"/>
        </w:rPr>
      </w:pPr>
    </w:p>
    <w:p w:rsidR="00CF3116" w:rsidRPr="00F52D1E" w:rsidRDefault="00CF3116" w:rsidP="00CF3116">
      <w:pPr>
        <w:pStyle w:val="Citation-AltC"/>
        <w:ind w:firstLine="274"/>
        <w:jc w:val="center"/>
        <w:rPr>
          <w:lang w:val="fr-CA"/>
        </w:rPr>
      </w:pPr>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rPr>
          <w:b/>
          <w:lang w:val="fr-CA"/>
        </w:rPr>
      </w:pPr>
      <w:r w:rsidRPr="00F52D1E">
        <w:rPr>
          <w:b/>
          <w:lang w:val="fr-CA"/>
        </w:rPr>
        <w:t xml:space="preserve">LES DROITS INVOQUÉS PAR LES INNUS </w:t>
      </w:r>
      <w:proofErr w:type="gramStart"/>
      <w:r w:rsidRPr="00F52D1E">
        <w:rPr>
          <w:b/>
          <w:lang w:val="fr-CA"/>
        </w:rPr>
        <w:t>DE UM</w:t>
      </w:r>
      <w:r w:rsidRPr="00F52D1E">
        <w:rPr>
          <w:b/>
          <w:lang w:val="fr-CA"/>
        </w:rPr>
        <w:noBreakHyphen/>
        <w:t>MLJ</w:t>
      </w:r>
      <w:proofErr w:type="gramEnd"/>
    </w:p>
    <w:p w:rsidR="00CF3116" w:rsidRPr="00F52D1E" w:rsidRDefault="00CF3116" w:rsidP="00CF3116">
      <w:pPr>
        <w:pStyle w:val="Citation-AltC"/>
        <w:rPr>
          <w:lang w:val="fr-CA"/>
        </w:rPr>
      </w:pPr>
    </w:p>
    <w:p w:rsidR="00CF3116" w:rsidRPr="00F52D1E" w:rsidRDefault="00CF3116" w:rsidP="00CF3116">
      <w:pPr>
        <w:pStyle w:val="Citation-AltC"/>
        <w:jc w:val="center"/>
        <w:rPr>
          <w:lang w:val="fr-CA"/>
        </w:rPr>
      </w:pPr>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Le titre indien, les droits ancestraux existants et les droits issus de traités des demandeurs les Innus de UM</w:t>
      </w:r>
      <w:r w:rsidRPr="00F52D1E">
        <w:rPr>
          <w:lang w:val="fr-CA"/>
        </w:rPr>
        <w:noBreakHyphen/>
        <w:t xml:space="preserve">MLJ </w:t>
      </w:r>
      <w:r w:rsidRPr="00F52D1E">
        <w:rPr>
          <w:u w:val="single"/>
          <w:lang w:val="fr-CA"/>
        </w:rPr>
        <w:t>dans et sur la partie de leur Nitassinan affectée par le mégaprojet d’IOC</w:t>
      </w:r>
      <w:r w:rsidRPr="00F52D1E">
        <w:rPr>
          <w:lang w:val="fr-CA"/>
        </w:rPr>
        <w:t xml:space="preserve"> comprennent le droit à l’usage exclusif et à l’occupation des terres dans cette partie de leur Nitassinan, </w:t>
      </w:r>
      <w:r w:rsidRPr="00F52D1E">
        <w:rPr>
          <w:u w:val="single"/>
          <w:lang w:val="fr-CA"/>
        </w:rPr>
        <w:t>le droit de chasser, pêcher et piéger dans cette partie de leur Nitassinan ainsi que le droit à la jouissance et à l’usage de l’ensemble des ressources naturelles dans cette partie de leur Nitassinan</w:t>
      </w:r>
      <w:r w:rsidR="009E2F25">
        <w:rPr>
          <w:lang w:val="fr-CA"/>
        </w:rPr>
        <w:t>.</w:t>
      </w:r>
    </w:p>
    <w:p w:rsidR="00CF3116" w:rsidRPr="00F52D1E" w:rsidRDefault="00CF3116" w:rsidP="00CF3116">
      <w:pPr>
        <w:pStyle w:val="Citation-AltC"/>
        <w:rPr>
          <w:lang w:val="fr-CA"/>
        </w:rPr>
      </w:pPr>
    </w:p>
    <w:p w:rsidR="00CF3116" w:rsidRPr="00F52D1E" w:rsidRDefault="00CF3116" w:rsidP="00CF3116">
      <w:pPr>
        <w:pStyle w:val="Citation-AltC"/>
        <w:jc w:val="center"/>
        <w:rPr>
          <w:lang w:val="fr-CA"/>
        </w:rPr>
      </w:pPr>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Avant l’arrivée d’IOC dans le Nitassinan et avant même l’arrivée des Européens dans la région de Schefferville, les Innus de UM</w:t>
      </w:r>
      <w:r w:rsidRPr="00F52D1E">
        <w:rPr>
          <w:lang w:val="fr-CA"/>
        </w:rPr>
        <w:noBreakHyphen/>
        <w:t xml:space="preserve">MLJ, y compris leurs ancêtres, fréquentaient et utilisaient </w:t>
      </w:r>
      <w:r w:rsidRPr="00F52D1E">
        <w:rPr>
          <w:u w:val="single"/>
          <w:lang w:val="fr-CA"/>
        </w:rPr>
        <w:t>ce territoire traditionnel</w:t>
      </w:r>
      <w:r w:rsidRPr="00F52D1E">
        <w:rPr>
          <w:lang w:val="fr-CA"/>
        </w:rPr>
        <w:t xml:space="preserve"> tel que le font des propriétaires, sur une base régulière. </w:t>
      </w:r>
      <w:r w:rsidRPr="00F52D1E">
        <w:rPr>
          <w:u w:val="single"/>
          <w:lang w:val="fr-CA"/>
        </w:rPr>
        <w:t>Ils y exerçaient leurs activités traditionnelles, y compris la chasse, le piégeage, la pêche et la cueillette</w:t>
      </w:r>
      <w:r w:rsidRPr="00F52D1E">
        <w:rPr>
          <w:lang w:val="fr-CA"/>
        </w:rPr>
        <w:t>, selon le mode de vie innu et notam</w:t>
      </w:r>
      <w:r w:rsidR="009E2F25">
        <w:rPr>
          <w:lang w:val="fr-CA"/>
        </w:rPr>
        <w:t>ment à des fins de subsistance.</w:t>
      </w:r>
    </w:p>
    <w:p w:rsidR="00CF3116" w:rsidRPr="00F52D1E" w:rsidRDefault="00CF3116" w:rsidP="00CF3116">
      <w:pPr>
        <w:pStyle w:val="Citation-AltC"/>
        <w:rPr>
          <w:lang w:val="fr-CA"/>
        </w:rPr>
      </w:pPr>
    </w:p>
    <w:p w:rsidR="00CF3116" w:rsidRPr="00F52D1E" w:rsidRDefault="00CF3116" w:rsidP="00CF3116">
      <w:pPr>
        <w:pStyle w:val="Citation-AltC"/>
        <w:jc w:val="center"/>
        <w:rPr>
          <w:lang w:val="fr-CA"/>
        </w:rPr>
      </w:pPr>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lastRenderedPageBreak/>
        <w:t>Le mégaprojet d’IOC et notamment les opérations, installations et activités des défenderesses ont notamment porté atteinte et portent atteinte aux droits constitutionnels et du droit commun des demandeurs, à savoir le titre indien, les droits ancestraux et les droits is</w:t>
      </w:r>
      <w:r w:rsidR="009E2F25">
        <w:rPr>
          <w:lang w:val="fr-CA"/>
        </w:rPr>
        <w:t>sus de traités de ces derniers.</w:t>
      </w:r>
    </w:p>
    <w:p w:rsidR="00CF3116" w:rsidRPr="00F52D1E" w:rsidRDefault="00CF3116" w:rsidP="00CF3116">
      <w:pPr>
        <w:pStyle w:val="Citation-AltC"/>
        <w:rPr>
          <w:lang w:val="fr-CA"/>
        </w:rPr>
      </w:pPr>
      <w:r w:rsidRPr="00F52D1E">
        <w:rPr>
          <w:lang w:val="fr-CA"/>
        </w:rPr>
        <w:t>[Nous soulignons.]</w:t>
      </w:r>
    </w:p>
    <w:p w:rsidR="00CF3116" w:rsidRPr="00F52D1E" w:rsidRDefault="00CF3116" w:rsidP="00CF3116">
      <w:pPr>
        <w:pStyle w:val="Citation-AltC"/>
        <w:rPr>
          <w:lang w:val="fr-CA"/>
        </w:rPr>
      </w:pPr>
    </w:p>
    <w:p w:rsidR="00CF3116" w:rsidRPr="00F52D1E" w:rsidRDefault="00CF3116" w:rsidP="00443FD4">
      <w:pPr>
        <w:pStyle w:val="Citation-AltC"/>
        <w:ind w:left="0"/>
        <w:rPr>
          <w:lang w:val="fr-CA"/>
        </w:rPr>
      </w:pPr>
      <w:r w:rsidRPr="00F52D1E">
        <w:rPr>
          <w:lang w:val="fr-CA"/>
        </w:rPr>
        <w:t xml:space="preserve">(Requête introductive d’instance, </w:t>
      </w:r>
      <w:proofErr w:type="gramStart"/>
      <w:r w:rsidRPr="00F52D1E">
        <w:rPr>
          <w:lang w:val="fr-CA"/>
        </w:rPr>
        <w:t>d.a.,</w:t>
      </w:r>
      <w:proofErr w:type="gramEnd"/>
      <w:r w:rsidRPr="00F52D1E">
        <w:rPr>
          <w:lang w:val="fr-CA"/>
        </w:rPr>
        <w:t xml:space="preserve"> vol. II, p. 9</w:t>
      </w:r>
      <w:r w:rsidRPr="00F52D1E">
        <w:rPr>
          <w:lang w:val="fr-CA"/>
        </w:rPr>
        <w:noBreakHyphen/>
        <w:t>11, 19</w:t>
      </w:r>
      <w:r w:rsidRPr="00F52D1E">
        <w:rPr>
          <w:lang w:val="fr-CA"/>
        </w:rPr>
        <w:noBreakHyphen/>
        <w:t>20 et 24)</w:t>
      </w:r>
    </w:p>
    <w:p w:rsidR="00CF3116" w:rsidRPr="00F52D1E" w:rsidRDefault="00CF3116" w:rsidP="00CF3116">
      <w:pPr>
        <w:pStyle w:val="ParaNoNdepar-AltN"/>
        <w:rPr>
          <w:rFonts w:cs="Times New Roman"/>
          <w:lang w:val="fr-CA"/>
        </w:rPr>
      </w:pPr>
      <w:r w:rsidRPr="00F52D1E">
        <w:rPr>
          <w:rFonts w:cs="Times New Roman"/>
          <w:lang w:val="fr-CA"/>
        </w:rPr>
        <w:t xml:space="preserve">À notre avis, les droits de chasse, de piégeage, de pêche et de cueillette, de jouissance de toutes les ressources naturelles (y compris du minerai de fer) et d’utilisation des cours d’eau du Nitassinan sont assimilables à des droits réels aux fins du droit international privé. Plus précisément, ils </w:t>
      </w:r>
      <w:r w:rsidRPr="00F52D1E">
        <w:rPr>
          <w:rFonts w:cs="Times New Roman"/>
          <w:i/>
          <w:lang w:val="fr-CA"/>
        </w:rPr>
        <w:t>ressemblent</w:t>
      </w:r>
      <w:r w:rsidRPr="00F52D1E">
        <w:rPr>
          <w:rFonts w:cs="Times New Roman"/>
          <w:lang w:val="fr-CA"/>
        </w:rPr>
        <w:t xml:space="preserve"> ou sont à tout le moins </w:t>
      </w:r>
      <w:r w:rsidRPr="00F52D1E">
        <w:rPr>
          <w:rFonts w:cs="Times New Roman"/>
          <w:i/>
          <w:lang w:val="fr-CA"/>
        </w:rPr>
        <w:t>analogues</w:t>
      </w:r>
      <w:r w:rsidRPr="00F52D1E">
        <w:rPr>
          <w:rFonts w:cs="Times New Roman"/>
          <w:lang w:val="fr-CA"/>
        </w:rPr>
        <w:t xml:space="preserve"> à des droits réels de jouissance innommés : voir Anker, p. 20</w:t>
      </w:r>
      <w:r w:rsidRPr="00F52D1E">
        <w:rPr>
          <w:rFonts w:cs="Times New Roman"/>
          <w:lang w:val="fr-CA"/>
        </w:rPr>
        <w:noBreakHyphen/>
        <w:t xml:space="preserve">22. Un droit ancestral de chasse, de piégeage, de pêche ou de cueillette est sans aucun doute une charge grevant la terre et, à certaines conditions, ce droit pourrait même être exercé sur une propriété privée : voir, par exemple, </w:t>
      </w:r>
      <w:r w:rsidRPr="00F52D1E">
        <w:rPr>
          <w:rFonts w:cs="Times New Roman"/>
          <w:i/>
          <w:lang w:val="fr-CA"/>
        </w:rPr>
        <w:t>R. c. Badger</w:t>
      </w:r>
      <w:r w:rsidRPr="00F52D1E">
        <w:rPr>
          <w:rFonts w:cs="Times New Roman"/>
          <w:lang w:val="fr-CA"/>
        </w:rPr>
        <w:t>, [1996] 1 R.C.S. 771; voir aussi, à ce sujet, K. McNeil, « Co</w:t>
      </w:r>
      <w:r w:rsidRPr="00F52D1E">
        <w:rPr>
          <w:rFonts w:cs="Times New Roman"/>
          <w:lang w:val="fr-CA"/>
        </w:rPr>
        <w:noBreakHyphen/>
        <w:t xml:space="preserve">Existence of Indigenous Rights and Other Interests in Land in Australia and Canada » (1997), 3 </w:t>
      </w:r>
      <w:r w:rsidRPr="00F52D1E">
        <w:rPr>
          <w:rFonts w:cs="Times New Roman"/>
          <w:i/>
          <w:lang w:val="fr-CA"/>
        </w:rPr>
        <w:t xml:space="preserve">C.N.L.R. </w:t>
      </w:r>
      <w:r w:rsidRPr="00F52D1E">
        <w:rPr>
          <w:rFonts w:cs="Times New Roman"/>
          <w:lang w:val="fr-CA"/>
        </w:rPr>
        <w:t>1.</w:t>
      </w:r>
    </w:p>
    <w:p w:rsidR="00CF3116" w:rsidRPr="00F52D1E" w:rsidRDefault="00CF3116" w:rsidP="00CF3116">
      <w:pPr>
        <w:pStyle w:val="ParaNoNdepar-AltN"/>
        <w:rPr>
          <w:rFonts w:cs="Times New Roman"/>
        </w:rPr>
      </w:pPr>
      <w:r w:rsidRPr="00F52D1E">
        <w:rPr>
          <w:rFonts w:cs="Times New Roman"/>
          <w:lang w:val="fr-CA"/>
        </w:rPr>
        <w:t>En effet, la jurisprudence et la doctrine québécoises admettent généralement aujourd’hui l’existence de droits réels de jouissance innommés, c’est</w:t>
      </w:r>
      <w:r w:rsidRPr="00F52D1E">
        <w:rPr>
          <w:rFonts w:cs="Times New Roman"/>
          <w:lang w:val="fr-CA"/>
        </w:rPr>
        <w:noBreakHyphen/>
        <w:t>à</w:t>
      </w:r>
      <w:r w:rsidRPr="00F52D1E">
        <w:rPr>
          <w:rFonts w:cs="Times New Roman"/>
          <w:lang w:val="fr-CA"/>
        </w:rPr>
        <w:noBreakHyphen/>
        <w:t xml:space="preserve">dire de démembrements de la propriété qui ne sont pas expressément prévus par la loi : Emerich, p. 306; Lafond, p. 758; M. Cantin Cumyn, « De l’existence et du régime juridique des droits réels de jouissance innommés : Essai sur l’énumération limitative des droits réels » (1986), 46 </w:t>
      </w:r>
      <w:r w:rsidRPr="00F52D1E">
        <w:rPr>
          <w:rFonts w:cs="Times New Roman"/>
          <w:i/>
          <w:lang w:val="fr-CA"/>
        </w:rPr>
        <w:t>R. du B.</w:t>
      </w:r>
      <w:r w:rsidRPr="00F52D1E">
        <w:rPr>
          <w:rFonts w:cs="Times New Roman"/>
          <w:lang w:val="fr-CA"/>
        </w:rPr>
        <w:t xml:space="preserve"> 3; </w:t>
      </w:r>
      <w:r w:rsidRPr="00F52D1E">
        <w:rPr>
          <w:rFonts w:cs="Times New Roman"/>
          <w:i/>
          <w:lang w:val="fr-CA"/>
        </w:rPr>
        <w:t>Matamajaw Salmon Club c. Duchaine</w:t>
      </w:r>
      <w:r w:rsidRPr="00F52D1E">
        <w:rPr>
          <w:rFonts w:cs="Times New Roman"/>
          <w:lang w:val="fr-CA"/>
        </w:rPr>
        <w:t xml:space="preserve">, [1921] 2 A.C. 426 (C.P.); </w:t>
      </w:r>
      <w:r w:rsidRPr="00F52D1E">
        <w:rPr>
          <w:rFonts w:cs="Times New Roman"/>
          <w:i/>
          <w:lang w:val="fr-CA"/>
        </w:rPr>
        <w:t>Procureur général du Québec c. Club Appalaches inc.</w:t>
      </w:r>
      <w:r w:rsidRPr="00F52D1E">
        <w:rPr>
          <w:rFonts w:cs="Times New Roman"/>
          <w:lang w:val="fr-CA"/>
        </w:rPr>
        <w:t xml:space="preserve">, [1999] R.J.Q. 2260 (C.A.); </w:t>
      </w:r>
      <w:r w:rsidRPr="00F52D1E">
        <w:rPr>
          <w:rFonts w:cs="Times New Roman"/>
          <w:i/>
          <w:lang w:val="fr-CA"/>
        </w:rPr>
        <w:t>Anglo Pacific Group PLC c. Ernst &amp; Young inc.</w:t>
      </w:r>
      <w:r w:rsidRPr="00F52D1E">
        <w:rPr>
          <w:rFonts w:cs="Times New Roman"/>
          <w:lang w:val="fr-CA"/>
        </w:rPr>
        <w:t xml:space="preserve">, 2013 QCCA 1323, [2013] R.J.Q. 1264. Aux termes de l’art. 1119 </w:t>
      </w:r>
      <w:r w:rsidRPr="00F52D1E">
        <w:rPr>
          <w:rFonts w:cs="Times New Roman"/>
          <w:i/>
          <w:lang w:val="fr-CA"/>
        </w:rPr>
        <w:t>C.c.Q.</w:t>
      </w:r>
      <w:r w:rsidRPr="00F52D1E">
        <w:rPr>
          <w:rFonts w:cs="Times New Roman"/>
          <w:lang w:val="fr-CA"/>
        </w:rPr>
        <w:t xml:space="preserve">, « [l]’usufruit, </w:t>
      </w:r>
      <w:r w:rsidRPr="00F52D1E">
        <w:rPr>
          <w:rFonts w:cs="Times New Roman"/>
          <w:lang w:val="fr-CA"/>
        </w:rPr>
        <w:lastRenderedPageBreak/>
        <w:t xml:space="preserve">l’usage, la servitude et l’emphytéose sont </w:t>
      </w:r>
      <w:r w:rsidRPr="00F52D1E">
        <w:rPr>
          <w:rFonts w:cs="Times New Roman"/>
          <w:u w:val="single"/>
          <w:lang w:val="fr-CA"/>
        </w:rPr>
        <w:t>des</w:t>
      </w:r>
      <w:r w:rsidRPr="00F52D1E">
        <w:rPr>
          <w:rFonts w:cs="Times New Roman"/>
          <w:lang w:val="fr-CA"/>
        </w:rPr>
        <w:t xml:space="preserve"> démembrements du droit de propriété et constituent des droits réels ». Le choix des termes semble suggérer que le législateur n’avait pas l’intention d’édicter une liste exhaustive et fermée des droits réels en droit québécois. </w:t>
      </w:r>
      <w:r w:rsidRPr="00F52D1E">
        <w:rPr>
          <w:rFonts w:cs="Times New Roman"/>
        </w:rPr>
        <w:t>Comme l’enseigne la professeure Emerich, p. 307 :</w:t>
      </w:r>
    </w:p>
    <w:p w:rsidR="00CF3116" w:rsidRPr="00F52D1E" w:rsidRDefault="00CF3116" w:rsidP="00CF3116">
      <w:pPr>
        <w:pStyle w:val="Citation-AltC"/>
        <w:ind w:firstLine="274"/>
      </w:pPr>
      <w:r w:rsidRPr="00F52D1E">
        <w:rPr>
          <w:lang w:val="fr-CA"/>
        </w:rPr>
        <w:t xml:space="preserve">Plusieurs droits réels innom[m]és ont été reconnus en droit civil québécois, notamment le droit de coupe de bois et </w:t>
      </w:r>
      <w:r w:rsidRPr="00F52D1E">
        <w:rPr>
          <w:u w:val="single"/>
          <w:lang w:val="fr-CA"/>
        </w:rPr>
        <w:t>les droits de chasse et de pêche</w:t>
      </w:r>
      <w:r w:rsidRPr="00F52D1E">
        <w:rPr>
          <w:lang w:val="fr-CA"/>
        </w:rPr>
        <w:t xml:space="preserve">. On peut aussi rencontrer </w:t>
      </w:r>
      <w:r w:rsidRPr="00F52D1E">
        <w:rPr>
          <w:u w:val="single"/>
          <w:lang w:val="fr-CA"/>
        </w:rPr>
        <w:t>des droits d’extraire du sol des substances minérales</w:t>
      </w:r>
      <w:r w:rsidRPr="00F52D1E">
        <w:rPr>
          <w:lang w:val="fr-CA"/>
        </w:rPr>
        <w:t xml:space="preserve"> ou végétales, de procéder à l’exploitation des forces hydrauliques d’une rivière, ou encore d’exploiter une érablière. </w:t>
      </w:r>
      <w:r w:rsidRPr="00F52D1E">
        <w:t>[Nous soulignons; notes en bas de page omises.]</w:t>
      </w:r>
    </w:p>
    <w:p w:rsidR="00CF3116" w:rsidRPr="00F52D1E" w:rsidRDefault="00CF3116" w:rsidP="00CF3116">
      <w:pPr>
        <w:pStyle w:val="ParaNoNdepar-AltN"/>
        <w:rPr>
          <w:rFonts w:cs="Times New Roman"/>
          <w:lang w:val="fr-CA"/>
        </w:rPr>
      </w:pPr>
      <w:r w:rsidRPr="00F52D1E">
        <w:rPr>
          <w:rFonts w:cs="Times New Roman"/>
          <w:lang w:val="fr-CA"/>
        </w:rPr>
        <w:t xml:space="preserve">Le professeur B. Ziff note à ce propos que certains droits ancestraux sont analogues à des « profits à prendre » : </w:t>
      </w:r>
      <w:r w:rsidRPr="00F52D1E">
        <w:rPr>
          <w:rFonts w:cs="Times New Roman"/>
          <w:i/>
          <w:lang w:val="fr-CA"/>
        </w:rPr>
        <w:t>Principles of Property Law</w:t>
      </w:r>
      <w:r w:rsidRPr="00F52D1E">
        <w:rPr>
          <w:rFonts w:cs="Times New Roman"/>
          <w:lang w:val="fr-CA"/>
        </w:rPr>
        <w:t xml:space="preserve"> (7</w:t>
      </w:r>
      <w:r w:rsidRPr="00F52D1E">
        <w:rPr>
          <w:rFonts w:cs="Times New Roman"/>
          <w:vertAlign w:val="superscript"/>
          <w:lang w:val="fr-CA"/>
        </w:rPr>
        <w:t>e</w:t>
      </w:r>
      <w:r w:rsidRPr="00F52D1E">
        <w:rPr>
          <w:rFonts w:cs="Times New Roman"/>
          <w:lang w:val="fr-CA"/>
        </w:rPr>
        <w:t xml:space="preserve"> éd. 2018), p. 443; voir, au même effet, </w:t>
      </w:r>
      <w:r w:rsidRPr="00F52D1E">
        <w:rPr>
          <w:rFonts w:cs="Times New Roman"/>
          <w:i/>
          <w:lang w:val="fr-CA"/>
        </w:rPr>
        <w:t>Bolton c. Forest Pest Management Institute</w:t>
      </w:r>
      <w:r w:rsidRPr="00F52D1E">
        <w:rPr>
          <w:rFonts w:cs="Times New Roman"/>
          <w:lang w:val="fr-CA"/>
        </w:rPr>
        <w:t xml:space="preserve"> (1985), 66 B.C.L.R. 126 (C.A.). Or, les </w:t>
      </w:r>
      <w:r w:rsidRPr="00F52D1E">
        <w:rPr>
          <w:rFonts w:cs="Times New Roman"/>
          <w:i/>
          <w:lang w:val="fr-CA"/>
        </w:rPr>
        <w:t>profits à prendre</w:t>
      </w:r>
      <w:r w:rsidRPr="00F52D1E">
        <w:rPr>
          <w:rFonts w:cs="Times New Roman"/>
          <w:lang w:val="fr-CA"/>
        </w:rPr>
        <w:t xml:space="preserve"> de la common law sont similaires aux droits réels de jouissance innommés du</w:t>
      </w:r>
      <w:r w:rsidR="009E2F25">
        <w:rPr>
          <w:rFonts w:cs="Times New Roman"/>
          <w:lang w:val="fr-CA"/>
        </w:rPr>
        <w:t xml:space="preserve"> droit civil : Emerich, p. 304.</w:t>
      </w:r>
    </w:p>
    <w:p w:rsidR="00CF3116" w:rsidRPr="00F52D1E" w:rsidRDefault="00CF3116" w:rsidP="00CF3116">
      <w:pPr>
        <w:pStyle w:val="ParaNoNdepar-AltN"/>
        <w:rPr>
          <w:rFonts w:cs="Times New Roman"/>
          <w:lang w:val="fr-CA"/>
        </w:rPr>
      </w:pPr>
      <w:r w:rsidRPr="00F52D1E">
        <w:rPr>
          <w:rFonts w:cs="Times New Roman"/>
          <w:lang w:val="fr-CA"/>
        </w:rPr>
        <w:t xml:space="preserve">L’intervenante Tsawout First Nation plaide dans son mémoire que les droits ancestraux autres que le titre ancestral ne sont pas des intérêts de propriété ou des droits réels, car ils ne sont pas </w:t>
      </w:r>
      <w:r w:rsidRPr="00F52D1E">
        <w:rPr>
          <w:rFonts w:cs="Times New Roman"/>
          <w:i/>
          <w:lang w:val="fr-CA"/>
        </w:rPr>
        <w:t>exclusifs</w:t>
      </w:r>
      <w:r w:rsidRPr="00F52D1E">
        <w:rPr>
          <w:rFonts w:cs="Times New Roman"/>
          <w:lang w:val="fr-CA"/>
        </w:rPr>
        <w:t> : par. 27. Elle souligne qu’un groupe autochtone titulaire d’un droit ancestral de pêche ou de chasse sur un territoire spécifique peut devoir exercer ce droit concurremment avec d’autres groupes, autochtones ou non</w:t>
      </w:r>
      <w:r w:rsidRPr="00F52D1E">
        <w:rPr>
          <w:rFonts w:cs="Times New Roman"/>
          <w:lang w:val="fr-CA"/>
        </w:rPr>
        <w:noBreakHyphen/>
        <w:t xml:space="preserve">autochtones : par. 28. Une telle caractéristique des droits ancestraux n’empêche pas de conclure qu’ils sont assimilables à des intérêts de propriété ou de droits réels pour les fins du droit international privé. En droit français, par exemple, le professeur W. Dross affirme que </w:t>
      </w:r>
      <w:r w:rsidRPr="00F52D1E">
        <w:rPr>
          <w:rFonts w:cs="Times New Roman"/>
          <w:szCs w:val="24"/>
          <w:lang w:val="fr-CA"/>
        </w:rPr>
        <w:t xml:space="preserve">l’utilité conférée au titulaire d’un droit réel démembré n’est pas nécessairement </w:t>
      </w:r>
      <w:r w:rsidRPr="00F52D1E">
        <w:rPr>
          <w:rFonts w:cs="Times New Roman"/>
          <w:i/>
          <w:szCs w:val="24"/>
          <w:lang w:val="fr-CA"/>
        </w:rPr>
        <w:t>retirée</w:t>
      </w:r>
      <w:r w:rsidRPr="00F52D1E">
        <w:rPr>
          <w:rFonts w:cs="Times New Roman"/>
          <w:szCs w:val="24"/>
          <w:lang w:val="fr-CA"/>
        </w:rPr>
        <w:t xml:space="preserve"> au propriétaire de la chose, « lequel </w:t>
      </w:r>
      <w:r w:rsidRPr="00F52D1E">
        <w:rPr>
          <w:rFonts w:cs="Times New Roman"/>
          <w:szCs w:val="24"/>
          <w:lang w:val="fr-CA"/>
        </w:rPr>
        <w:lastRenderedPageBreak/>
        <w:t>peut continuer à l’exercer, mais cette fois</w:t>
      </w:r>
      <w:r w:rsidRPr="00F52D1E">
        <w:rPr>
          <w:rFonts w:cs="Times New Roman"/>
          <w:szCs w:val="24"/>
          <w:lang w:val="fr-CA"/>
        </w:rPr>
        <w:noBreakHyphen/>
        <w:t>ci concurremment avec autrui ». Ainsi, par exemple, lorsqu’un propriétaire consent à son voisin une servitude de passage sur son immeuble, il ne s’interdit pas d’utiliser lui</w:t>
      </w:r>
      <w:r w:rsidRPr="00F52D1E">
        <w:rPr>
          <w:rFonts w:cs="Times New Roman"/>
          <w:szCs w:val="24"/>
          <w:lang w:val="fr-CA"/>
        </w:rPr>
        <w:noBreakHyphen/>
        <w:t>même ce passage : la situation en est alors tout simplement une d’« appropriation plurale » de l’utilité en cause ou, autrement dit, d’indivision (</w:t>
      </w:r>
      <w:r w:rsidRPr="00F52D1E">
        <w:rPr>
          <w:rFonts w:cs="Times New Roman"/>
          <w:i/>
          <w:lang w:val="fr-CA"/>
        </w:rPr>
        <w:t>Droit des biens</w:t>
      </w:r>
      <w:r w:rsidRPr="00F52D1E">
        <w:rPr>
          <w:rFonts w:cs="Times New Roman"/>
          <w:lang w:val="fr-CA"/>
        </w:rPr>
        <w:t xml:space="preserve"> (4</w:t>
      </w:r>
      <w:r w:rsidRPr="00F52D1E">
        <w:rPr>
          <w:rFonts w:cs="Times New Roman"/>
          <w:vertAlign w:val="superscript"/>
          <w:lang w:val="fr-CA"/>
        </w:rPr>
        <w:t>e</w:t>
      </w:r>
      <w:r w:rsidRPr="00F52D1E">
        <w:rPr>
          <w:rFonts w:cs="Times New Roman"/>
          <w:lang w:val="fr-CA"/>
        </w:rPr>
        <w:t xml:space="preserve"> éd. 2019), p. 108; v</w:t>
      </w:r>
      <w:r w:rsidR="009E2F25">
        <w:rPr>
          <w:rFonts w:cs="Times New Roman"/>
          <w:lang w:val="fr-CA"/>
        </w:rPr>
        <w:t>oir aussi Emerich, p. 278</w:t>
      </w:r>
      <w:r w:rsidR="009E2F25">
        <w:rPr>
          <w:rFonts w:cs="Times New Roman"/>
          <w:lang w:val="fr-CA"/>
        </w:rPr>
        <w:noBreakHyphen/>
        <w:t>279).</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Conclusion sur la qualification de l’action des Innus</w:t>
      </w:r>
    </w:p>
    <w:p w:rsidR="00CF3116" w:rsidRPr="00F52D1E" w:rsidRDefault="00CF3116" w:rsidP="00CF3116">
      <w:pPr>
        <w:pStyle w:val="ParaNoNdepar-AltN"/>
        <w:rPr>
          <w:rFonts w:cs="Times New Roman"/>
          <w:lang w:val="fr-CA"/>
        </w:rPr>
      </w:pPr>
      <w:r w:rsidRPr="00F52D1E">
        <w:rPr>
          <w:rFonts w:cs="Times New Roman"/>
          <w:lang w:val="fr-CA"/>
        </w:rPr>
        <w:t xml:space="preserve">Nous avons préalablement défini l’action réelle comme une action par laquelle une personne demande la </w:t>
      </w:r>
      <w:r w:rsidRPr="00F52D1E">
        <w:rPr>
          <w:rFonts w:cs="Times New Roman"/>
          <w:i/>
          <w:lang w:val="fr-CA"/>
        </w:rPr>
        <w:t>reconnaissance</w:t>
      </w:r>
      <w:r w:rsidRPr="00F52D1E">
        <w:rPr>
          <w:rFonts w:cs="Times New Roman"/>
          <w:lang w:val="fr-CA"/>
        </w:rPr>
        <w:t xml:space="preserve"> ou la </w:t>
      </w:r>
      <w:r w:rsidRPr="00F52D1E">
        <w:rPr>
          <w:rFonts w:cs="Times New Roman"/>
          <w:i/>
          <w:lang w:val="fr-CA"/>
        </w:rPr>
        <w:t>protection</w:t>
      </w:r>
      <w:r w:rsidRPr="00F52D1E">
        <w:rPr>
          <w:rFonts w:cs="Times New Roman"/>
          <w:lang w:val="fr-CA"/>
        </w:rPr>
        <w:t xml:space="preserve"> d’un </w:t>
      </w:r>
      <w:r w:rsidRPr="00F52D1E">
        <w:rPr>
          <w:rFonts w:cs="Times New Roman"/>
          <w:i/>
          <w:lang w:val="fr-CA"/>
        </w:rPr>
        <w:t>droit</w:t>
      </w:r>
      <w:r w:rsidRPr="00F52D1E">
        <w:rPr>
          <w:rFonts w:cs="Times New Roman"/>
          <w:lang w:val="fr-CA"/>
        </w:rPr>
        <w:t xml:space="preserve"> </w:t>
      </w:r>
      <w:r w:rsidRPr="00F52D1E">
        <w:rPr>
          <w:rFonts w:cs="Times New Roman"/>
          <w:i/>
          <w:lang w:val="fr-CA"/>
        </w:rPr>
        <w:t>réel</w:t>
      </w:r>
      <w:r w:rsidRPr="00F52D1E">
        <w:rPr>
          <w:rFonts w:cs="Times New Roman"/>
          <w:lang w:val="fr-CA"/>
        </w:rPr>
        <w:t xml:space="preserve">. Puisque le titre ancestral et les autres droits ancestraux ou issus de traités sont des droits réels aux fins du droit international privé, il s’ensuit nécessairement que le volet de l’action des Innus qui, selon le PGTNL, vise à faire reconnaître et à protéger de tels droits serait une action réelle ou au mieux une action mixte visée par la section III du chapitre deuxième du titre troisième du Livre dixième du </w:t>
      </w:r>
      <w:r w:rsidRPr="00F52D1E">
        <w:rPr>
          <w:rFonts w:cs="Times New Roman"/>
          <w:i/>
          <w:lang w:val="fr-CA"/>
        </w:rPr>
        <w:t>C.c.Q.</w:t>
      </w:r>
      <w:r w:rsidRPr="00F52D1E">
        <w:rPr>
          <w:rFonts w:cs="Times New Roman"/>
          <w:lang w:val="fr-CA"/>
        </w:rPr>
        <w:t xml:space="preserve"> Nous examinerons ultérieurement en détail la question de savoir si l’action des Innus comporte </w:t>
      </w:r>
      <w:r w:rsidRPr="00F52D1E">
        <w:rPr>
          <w:rFonts w:cs="Times New Roman"/>
          <w:i/>
          <w:lang w:val="fr-CA"/>
        </w:rPr>
        <w:t>effectivement</w:t>
      </w:r>
      <w:r w:rsidRPr="00F52D1E">
        <w:rPr>
          <w:rFonts w:cs="Times New Roman"/>
          <w:lang w:val="fr-CA"/>
        </w:rPr>
        <w:t xml:space="preserve"> un tel volet visant la </w:t>
      </w:r>
      <w:r w:rsidRPr="00F52D1E">
        <w:rPr>
          <w:rFonts w:cs="Times New Roman"/>
          <w:i/>
          <w:lang w:val="fr-CA"/>
        </w:rPr>
        <w:t>reconnaissance</w:t>
      </w:r>
      <w:r w:rsidRPr="00F52D1E">
        <w:rPr>
          <w:rFonts w:cs="Times New Roman"/>
          <w:lang w:val="fr-CA"/>
        </w:rPr>
        <w:t xml:space="preserve"> ou la </w:t>
      </w:r>
      <w:r w:rsidRPr="00F52D1E">
        <w:rPr>
          <w:rFonts w:cs="Times New Roman"/>
          <w:i/>
          <w:lang w:val="fr-CA"/>
        </w:rPr>
        <w:t>protection</w:t>
      </w:r>
      <w:r w:rsidRPr="00F52D1E">
        <w:rPr>
          <w:rFonts w:cs="Times New Roman"/>
          <w:lang w:val="fr-CA"/>
        </w:rPr>
        <w:t xml:space="preserve"> d’un titre ancestral ou d’autres droits ancestraux ou issus de traités.</w:t>
      </w:r>
    </w:p>
    <w:p w:rsidR="00CF3116" w:rsidRPr="00F52D1E" w:rsidRDefault="00CF3116" w:rsidP="00CF3116">
      <w:pPr>
        <w:pStyle w:val="Title3LevelTitre3Niveau"/>
        <w:tabs>
          <w:tab w:val="clear" w:pos="1152"/>
        </w:tabs>
        <w:ind w:left="1530"/>
        <w:rPr>
          <w:rFonts w:cs="Times New Roman"/>
          <w:lang w:val="en-US"/>
        </w:rPr>
      </w:pPr>
      <w:bookmarkStart w:id="84" w:name="_Toc11660754"/>
      <w:bookmarkStart w:id="85" w:name="_Toc29195616"/>
      <w:bookmarkStart w:id="86" w:name="_Toc31207770"/>
      <w:bookmarkStart w:id="87" w:name="_Toc32309432"/>
      <w:bookmarkStart w:id="88" w:name="_Toc32852587"/>
      <w:bookmarkStart w:id="89" w:name="_Toc33007301"/>
      <w:r w:rsidRPr="00F52D1E">
        <w:rPr>
          <w:rFonts w:cs="Times New Roman"/>
          <w:lang w:val="en-US"/>
        </w:rPr>
        <w:t xml:space="preserve">Article 3152 </w:t>
      </w:r>
      <w:r w:rsidRPr="00F52D1E">
        <w:rPr>
          <w:rFonts w:cs="Times New Roman"/>
          <w:i/>
          <w:lang w:val="en-US"/>
        </w:rPr>
        <w:t>C.c.Q.</w:t>
      </w:r>
      <w:bookmarkEnd w:id="84"/>
      <w:bookmarkEnd w:id="85"/>
      <w:bookmarkEnd w:id="86"/>
      <w:bookmarkEnd w:id="87"/>
      <w:bookmarkEnd w:id="88"/>
      <w:bookmarkEnd w:id="89"/>
    </w:p>
    <w:p w:rsidR="00CF3116" w:rsidRPr="00F52D1E" w:rsidRDefault="00CF3116" w:rsidP="00CF3116">
      <w:pPr>
        <w:pStyle w:val="ParaNoNdepar-AltN"/>
        <w:rPr>
          <w:rFonts w:cs="Times New Roman"/>
          <w:lang w:val="fr-CA"/>
        </w:rPr>
      </w:pPr>
      <w:r w:rsidRPr="00F52D1E">
        <w:rPr>
          <w:rFonts w:cs="Times New Roman"/>
          <w:lang w:val="fr-CA"/>
        </w:rPr>
        <w:t xml:space="preserve">L’article 3152 </w:t>
      </w:r>
      <w:r w:rsidRPr="00F52D1E">
        <w:rPr>
          <w:rFonts w:cs="Times New Roman"/>
          <w:i/>
          <w:lang w:val="fr-CA"/>
        </w:rPr>
        <w:t>C.c.Q.</w:t>
      </w:r>
      <w:r w:rsidRPr="00F52D1E">
        <w:rPr>
          <w:rFonts w:cs="Times New Roman"/>
          <w:lang w:val="fr-CA"/>
        </w:rPr>
        <w:t xml:space="preserve"> est la première disposition de cette section III intitulée « Des actions réelles et mixtes ». Il est rédigé comme suit :</w:t>
      </w:r>
    </w:p>
    <w:p w:rsidR="00CF3116" w:rsidRPr="00F52D1E" w:rsidRDefault="00CF3116" w:rsidP="00CF3116">
      <w:pPr>
        <w:pStyle w:val="Citation-AltC"/>
        <w:rPr>
          <w:lang w:val="fr-CA"/>
        </w:rPr>
      </w:pPr>
      <w:r w:rsidRPr="00F52D1E">
        <w:rPr>
          <w:b/>
          <w:lang w:val="fr-CA"/>
        </w:rPr>
        <w:t xml:space="preserve">3152. </w:t>
      </w:r>
      <w:r w:rsidRPr="00F52D1E">
        <w:rPr>
          <w:lang w:val="fr-CA"/>
        </w:rPr>
        <w:t xml:space="preserve">Les autorités québécoises sont compétentes pour connaître d’une action réelle </w:t>
      </w:r>
      <w:r w:rsidRPr="00F52D1E">
        <w:rPr>
          <w:u w:val="single"/>
          <w:lang w:val="fr-CA"/>
        </w:rPr>
        <w:t>si le bien en litige est situé au Québec.</w:t>
      </w:r>
    </w:p>
    <w:p w:rsidR="00CF3116" w:rsidRPr="00F52D1E" w:rsidRDefault="00CF3116" w:rsidP="00CF3116">
      <w:pPr>
        <w:pStyle w:val="ContinueParaSuitedupar-AltP"/>
        <w:rPr>
          <w:rFonts w:cs="Times New Roman"/>
          <w:lang w:val="fr-CA"/>
        </w:rPr>
      </w:pPr>
      <w:r w:rsidRPr="00F52D1E">
        <w:rPr>
          <w:rFonts w:cs="Times New Roman"/>
          <w:lang w:val="fr-CA"/>
        </w:rPr>
        <w:lastRenderedPageBreak/>
        <w:t xml:space="preserve">Selon une jurisprudence bien établie, les autorités québécoises sont incompétentes pour connaître d’une action réelle si le bien en litige est situé </w:t>
      </w:r>
      <w:r w:rsidRPr="00F52D1E">
        <w:rPr>
          <w:rFonts w:cs="Times New Roman"/>
          <w:i/>
          <w:lang w:val="fr-CA"/>
        </w:rPr>
        <w:t>à l’extérieur</w:t>
      </w:r>
      <w:r w:rsidRPr="00F52D1E">
        <w:rPr>
          <w:rFonts w:cs="Times New Roman"/>
          <w:lang w:val="fr-CA"/>
        </w:rPr>
        <w:t xml:space="preserve"> du Québec : Glenn, p. 757</w:t>
      </w:r>
      <w:r w:rsidRPr="00F52D1E">
        <w:rPr>
          <w:rFonts w:cs="Times New Roman"/>
          <w:lang w:val="fr-CA"/>
        </w:rPr>
        <w:noBreakHyphen/>
        <w:t xml:space="preserve">758; </w:t>
      </w:r>
      <w:r w:rsidRPr="00F52D1E">
        <w:rPr>
          <w:rFonts w:cs="Times New Roman"/>
          <w:i/>
          <w:lang w:val="fr-CA"/>
        </w:rPr>
        <w:t>Bern</w:t>
      </w:r>
      <w:r w:rsidRPr="00F52D1E">
        <w:rPr>
          <w:rFonts w:cs="Times New Roman"/>
          <w:lang w:val="fr-CA"/>
        </w:rPr>
        <w:t xml:space="preserve">, p. 516; </w:t>
      </w:r>
      <w:r w:rsidRPr="00F52D1E">
        <w:rPr>
          <w:rFonts w:cs="Times New Roman"/>
          <w:i/>
          <w:lang w:val="fr-CA"/>
        </w:rPr>
        <w:t>Mazur c. Sugarman &amp; Vir</w:t>
      </w:r>
      <w:r w:rsidRPr="00F52D1E">
        <w:rPr>
          <w:rFonts w:cs="Times New Roman"/>
          <w:lang w:val="fr-CA"/>
        </w:rPr>
        <w:t xml:space="preserve"> (1938), 42 R.P.Q. 150 (C.S.); </w:t>
      </w:r>
      <w:r w:rsidRPr="00F52D1E">
        <w:rPr>
          <w:rFonts w:cs="Times New Roman"/>
          <w:i/>
          <w:lang w:val="fr-CA"/>
        </w:rPr>
        <w:t>Senauer c. Porter</w:t>
      </w:r>
      <w:r w:rsidRPr="00F52D1E">
        <w:rPr>
          <w:rFonts w:cs="Times New Roman"/>
          <w:lang w:val="fr-CA"/>
        </w:rPr>
        <w:t xml:space="preserve"> (1862), 7 L.C. Jur. 42 (C.S.); </w:t>
      </w:r>
      <w:r w:rsidRPr="00F52D1E">
        <w:rPr>
          <w:rFonts w:cs="Times New Roman"/>
          <w:i/>
          <w:lang w:val="fr-CA"/>
        </w:rPr>
        <w:t>Equity Accounts Buyers Limited c. Jacob</w:t>
      </w:r>
      <w:r w:rsidRPr="00F52D1E">
        <w:rPr>
          <w:rFonts w:cs="Times New Roman"/>
          <w:lang w:val="fr-CA"/>
        </w:rPr>
        <w:t xml:space="preserve">, [1972] C.S. 676; </w:t>
      </w:r>
      <w:r w:rsidRPr="00F52D1E">
        <w:rPr>
          <w:rFonts w:cs="Times New Roman"/>
          <w:i/>
          <w:lang w:val="fr-CA"/>
        </w:rPr>
        <w:t>Union Acceptance Corporation Ltd. c. Guay</w:t>
      </w:r>
      <w:r w:rsidRPr="00F52D1E">
        <w:rPr>
          <w:rFonts w:cs="Times New Roman"/>
          <w:lang w:val="fr-CA"/>
        </w:rPr>
        <w:t xml:space="preserve">, [1960] B.R. 827; Goldstein et Groffier (1998), n° 151; E. Groffier, </w:t>
      </w:r>
      <w:r w:rsidRPr="00F52D1E">
        <w:rPr>
          <w:rFonts w:cs="Times New Roman"/>
          <w:i/>
          <w:lang w:val="fr-CA"/>
        </w:rPr>
        <w:t xml:space="preserve">Précis de droit international privé québécois </w:t>
      </w:r>
      <w:r w:rsidRPr="00F52D1E">
        <w:rPr>
          <w:rFonts w:cs="Times New Roman"/>
          <w:lang w:val="fr-CA"/>
        </w:rPr>
        <w:t>(4</w:t>
      </w:r>
      <w:r w:rsidRPr="00F52D1E">
        <w:rPr>
          <w:rFonts w:cs="Times New Roman"/>
          <w:vertAlign w:val="superscript"/>
          <w:lang w:val="fr-CA"/>
        </w:rPr>
        <w:t>e</w:t>
      </w:r>
      <w:r w:rsidRPr="00F52D1E">
        <w:rPr>
          <w:rFonts w:cs="Times New Roman"/>
          <w:lang w:val="fr-CA"/>
        </w:rPr>
        <w:t xml:space="preserve"> éd. 1990), p. 276. La jurisprudence a considéré qu’il s’agissait d’une règle de compétence territoriale impérative assimilable à une règle de compétence </w:t>
      </w:r>
      <w:r w:rsidRPr="00F52D1E">
        <w:rPr>
          <w:rFonts w:cs="Times New Roman"/>
          <w:i/>
          <w:lang w:val="fr-CA"/>
        </w:rPr>
        <w:t>ratione materiae</w:t>
      </w:r>
      <w:r w:rsidRPr="00F52D1E">
        <w:rPr>
          <w:rFonts w:cs="Times New Roman"/>
          <w:lang w:val="fr-CA"/>
        </w:rPr>
        <w:t xml:space="preserve"> dont la violation « entraîne [. . .] une incompétence absolue qui peut être soulevée à tout moment au cours de</w:t>
      </w:r>
      <w:r w:rsidR="009E2F25">
        <w:rPr>
          <w:rFonts w:cs="Times New Roman"/>
          <w:lang w:val="fr-CA"/>
        </w:rPr>
        <w:t xml:space="preserve"> l’instance » : Castel, p. 689.</w:t>
      </w:r>
    </w:p>
    <w:p w:rsidR="00CF3116" w:rsidRPr="00F52D1E" w:rsidRDefault="0019745F" w:rsidP="00CF3116">
      <w:pPr>
        <w:pStyle w:val="ParaNoNdepar-AltN"/>
        <w:rPr>
          <w:rFonts w:cs="Times New Roman"/>
          <w:lang w:val="fr-CA"/>
        </w:rPr>
      </w:pPr>
      <w:r>
        <w:rPr>
          <w:rFonts w:cs="Times New Roman"/>
          <w:lang w:val="fr-CA"/>
        </w:rPr>
        <w:t>Il faut interpréter l’art.</w:t>
      </w:r>
      <w:r w:rsidR="00CF3116" w:rsidRPr="00F52D1E">
        <w:rPr>
          <w:rFonts w:cs="Times New Roman"/>
          <w:lang w:val="fr-CA"/>
        </w:rPr>
        <w:t xml:space="preserve"> 3152 </w:t>
      </w:r>
      <w:r w:rsidR="00CF3116" w:rsidRPr="00F52D1E">
        <w:rPr>
          <w:rFonts w:cs="Times New Roman"/>
          <w:i/>
          <w:lang w:val="fr-CA"/>
        </w:rPr>
        <w:t>C.c.Q.</w:t>
      </w:r>
      <w:r w:rsidR="00CF3116" w:rsidRPr="00F52D1E">
        <w:rPr>
          <w:rFonts w:cs="Times New Roman"/>
          <w:lang w:val="fr-CA"/>
        </w:rPr>
        <w:t xml:space="preserve"> en suivant la « méthode moderne » d’interprétation des lois, qui s’applique à l’interprétation d’un article du </w:t>
      </w:r>
      <w:r w:rsidR="00CF3116" w:rsidRPr="00F52D1E">
        <w:rPr>
          <w:rFonts w:cs="Times New Roman"/>
          <w:i/>
          <w:lang w:val="fr-CA"/>
        </w:rPr>
        <w:t>C.c.Q.</w:t>
      </w:r>
      <w:r w:rsidR="00CF3116" w:rsidRPr="00F52D1E">
        <w:rPr>
          <w:rFonts w:cs="Times New Roman"/>
          <w:lang w:val="fr-CA"/>
        </w:rPr>
        <w:t xml:space="preserve"> : </w:t>
      </w:r>
      <w:r w:rsidR="00CF3116" w:rsidRPr="00F52D1E">
        <w:rPr>
          <w:rFonts w:cs="Times New Roman"/>
          <w:i/>
          <w:lang w:val="fr-FR"/>
        </w:rPr>
        <w:t>Montréal (Ville) c. Lonardi</w:t>
      </w:r>
      <w:r w:rsidR="00CF3116" w:rsidRPr="00F52D1E">
        <w:rPr>
          <w:rFonts w:cs="Times New Roman"/>
          <w:lang w:val="fr-FR"/>
        </w:rPr>
        <w:t xml:space="preserve">, 2018 CSC 29, [2018] 2 R.C.S. 103, par. 22. </w:t>
      </w:r>
      <w:r w:rsidR="00CF3116" w:rsidRPr="00F52D1E">
        <w:rPr>
          <w:rFonts w:cs="Times New Roman"/>
          <w:lang w:val="fr-CA"/>
        </w:rPr>
        <w:t xml:space="preserve">En effet, au Québec, le droit international privé est codifié. En conséquence, « “les principes généraux d’interprétation du </w:t>
      </w:r>
      <w:r w:rsidR="00CF3116" w:rsidRPr="00F52D1E">
        <w:rPr>
          <w:rFonts w:cs="Times New Roman"/>
          <w:i/>
          <w:lang w:val="fr-CA"/>
        </w:rPr>
        <w:t>Code civil</w:t>
      </w:r>
      <w:r w:rsidR="00CF3116" w:rsidRPr="00F52D1E">
        <w:rPr>
          <w:rFonts w:cs="Times New Roman"/>
          <w:lang w:val="fr-CA"/>
        </w:rPr>
        <w:t xml:space="preserve"> s’appliquent à la détermination de la portée de ses dispositions” et “[l]es tribunaux doivent donc interpréter les règles comme un tout cohérent” » à la lumière des principes de courtoisie, d’ordre et d’équité qui servent de guide à l’interprétation des différentes règles de droit international privé : </w:t>
      </w:r>
      <w:r w:rsidR="00CF3116" w:rsidRPr="00F52D1E">
        <w:rPr>
          <w:rFonts w:cs="Times New Roman"/>
          <w:i/>
          <w:lang w:val="fr-CA"/>
        </w:rPr>
        <w:t>Barer</w:t>
      </w:r>
      <w:r w:rsidR="00CF3116" w:rsidRPr="00F52D1E">
        <w:rPr>
          <w:rFonts w:cs="Times New Roman"/>
          <w:lang w:val="fr-CA"/>
        </w:rPr>
        <w:t xml:space="preserve">, par. 108, le juge Brown, citant </w:t>
      </w:r>
      <w:r w:rsidR="00CF3116" w:rsidRPr="00F52D1E">
        <w:rPr>
          <w:rFonts w:cs="Times New Roman"/>
          <w:i/>
          <w:lang w:val="fr-CA"/>
        </w:rPr>
        <w:t>GreCon Dimter inc. c. J.R. Normand inc.</w:t>
      </w:r>
      <w:r w:rsidR="00CF3116" w:rsidRPr="00F52D1E">
        <w:rPr>
          <w:rFonts w:cs="Times New Roman"/>
          <w:lang w:val="fr-CA"/>
        </w:rPr>
        <w:t xml:space="preserve">, 2005 CSC 46, [2005] 2 R.C.S. 401, par. 19; </w:t>
      </w:r>
      <w:r w:rsidR="00CF3116" w:rsidRPr="00F52D1E">
        <w:rPr>
          <w:rFonts w:cs="Times New Roman"/>
          <w:i/>
          <w:lang w:val="fr-CA"/>
        </w:rPr>
        <w:t>Spar Aerospace Ltée c. American Mobile Satellite Corp.</w:t>
      </w:r>
      <w:r w:rsidR="00CF3116" w:rsidRPr="00F52D1E">
        <w:rPr>
          <w:rFonts w:cs="Times New Roman"/>
          <w:lang w:val="fr-CA"/>
        </w:rPr>
        <w:t xml:space="preserve">, 2002 CSC 78, [2002] 4 R.C.S. 205, par. 23. En l’espèce, l’historique législatif de l’art. 3152 </w:t>
      </w:r>
      <w:r w:rsidR="00CF3116" w:rsidRPr="00F52D1E">
        <w:rPr>
          <w:rFonts w:cs="Times New Roman"/>
          <w:i/>
          <w:lang w:val="fr-CA"/>
        </w:rPr>
        <w:t>C.c.Q.</w:t>
      </w:r>
      <w:r w:rsidR="00CF3116" w:rsidRPr="00F52D1E">
        <w:rPr>
          <w:rFonts w:cs="Times New Roman"/>
          <w:lang w:val="fr-CA"/>
        </w:rPr>
        <w:t xml:space="preserve"> mérite une attention particulière.</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L’article 3152 </w:t>
      </w:r>
      <w:r w:rsidRPr="00F52D1E">
        <w:rPr>
          <w:rFonts w:cs="Times New Roman"/>
          <w:i/>
          <w:lang w:val="fr-CA"/>
        </w:rPr>
        <w:t>C.c.Q.</w:t>
      </w:r>
      <w:r w:rsidRPr="00F52D1E">
        <w:rPr>
          <w:rFonts w:cs="Times New Roman"/>
          <w:lang w:val="fr-CA"/>
        </w:rPr>
        <w:t xml:space="preserve"> remplace, pour le droit international privé, l’art. 73 a.</w:t>
      </w:r>
      <w:r w:rsidRPr="00F52D1E">
        <w:rPr>
          <w:rFonts w:cs="Times New Roman"/>
          <w:i/>
          <w:lang w:val="fr-CA"/>
        </w:rPr>
        <w:t>C.p.c.</w:t>
      </w:r>
      <w:r w:rsidRPr="00F52D1E">
        <w:rPr>
          <w:rFonts w:cs="Times New Roman"/>
          <w:lang w:val="fr-CA"/>
        </w:rPr>
        <w:t xml:space="preserve"> (maintenant les art. 41 al. 1 et 42 (3) </w:t>
      </w:r>
      <w:r w:rsidRPr="00F52D1E">
        <w:rPr>
          <w:rFonts w:cs="Times New Roman"/>
          <w:i/>
          <w:lang w:val="fr-CA"/>
        </w:rPr>
        <w:t>C.p.c.</w:t>
      </w:r>
      <w:r w:rsidRPr="00F52D1E">
        <w:rPr>
          <w:rFonts w:cs="Times New Roman"/>
          <w:lang w:val="fr-CA"/>
        </w:rPr>
        <w:t>) : voir, à ce sujet, Goldstein et Groffier (2003), n° 311. L’article 73 a.</w:t>
      </w:r>
      <w:r w:rsidRPr="00F52D1E">
        <w:rPr>
          <w:rFonts w:cs="Times New Roman"/>
          <w:i/>
          <w:lang w:val="fr-CA"/>
        </w:rPr>
        <w:t>C.p.c.</w:t>
      </w:r>
      <w:r w:rsidRPr="00F52D1E">
        <w:rPr>
          <w:rFonts w:cs="Times New Roman"/>
          <w:lang w:val="fr-CA"/>
        </w:rPr>
        <w:t xml:space="preserve"> était réd</w:t>
      </w:r>
      <w:r w:rsidR="009E2F25">
        <w:rPr>
          <w:rFonts w:cs="Times New Roman"/>
          <w:lang w:val="fr-CA"/>
        </w:rPr>
        <w:t>igé comme suit :</w:t>
      </w:r>
    </w:p>
    <w:p w:rsidR="00CF3116" w:rsidRPr="00F52D1E" w:rsidRDefault="00CF3116" w:rsidP="00CF3116">
      <w:pPr>
        <w:pStyle w:val="Citation-AltC"/>
        <w:rPr>
          <w:lang w:val="fr-CA"/>
        </w:rPr>
      </w:pPr>
      <w:r w:rsidRPr="00F52D1E">
        <w:rPr>
          <w:b/>
          <w:lang w:val="fr-CA"/>
        </w:rPr>
        <w:t>73.</w:t>
      </w:r>
      <w:r w:rsidRPr="00F52D1E">
        <w:rPr>
          <w:lang w:val="fr-CA"/>
        </w:rPr>
        <w:t xml:space="preserve"> L’action réelle et l’action mixte peuvent être portées soit devant le tribunal du domicile du défendeur, soit devant celui du district où est situé, </w:t>
      </w:r>
      <w:r w:rsidRPr="00F52D1E">
        <w:rPr>
          <w:u w:val="single"/>
          <w:lang w:val="fr-CA"/>
        </w:rPr>
        <w:t>en tout ou en partie</w:t>
      </w:r>
      <w:r w:rsidRPr="00F52D1E">
        <w:rPr>
          <w:lang w:val="fr-CA"/>
        </w:rPr>
        <w:t>, le bien en litige.</w:t>
      </w:r>
    </w:p>
    <w:p w:rsidR="00CF3116" w:rsidRPr="00F52D1E" w:rsidRDefault="00CF3116" w:rsidP="00CF3116">
      <w:pPr>
        <w:pStyle w:val="ParaNoNdepar-AltN"/>
        <w:rPr>
          <w:rFonts w:cs="Times New Roman"/>
          <w:lang w:val="fr-CA"/>
        </w:rPr>
      </w:pPr>
      <w:r w:rsidRPr="00F52D1E">
        <w:rPr>
          <w:rFonts w:cs="Times New Roman"/>
          <w:lang w:val="fr-CA"/>
        </w:rPr>
        <w:t xml:space="preserve">De fait, avant l’entrée en vigueur du </w:t>
      </w:r>
      <w:r w:rsidRPr="00F52D1E">
        <w:rPr>
          <w:rFonts w:cs="Times New Roman"/>
          <w:i/>
          <w:lang w:val="fr-CA"/>
        </w:rPr>
        <w:t>C.c.Q.</w:t>
      </w:r>
      <w:r w:rsidRPr="00F52D1E">
        <w:rPr>
          <w:rFonts w:cs="Times New Roman"/>
          <w:lang w:val="fr-CA"/>
        </w:rPr>
        <w:t xml:space="preserve"> en 1994, la compétence internationale des autorités québécoises était régie par </w:t>
      </w:r>
      <w:proofErr w:type="gramStart"/>
      <w:r w:rsidRPr="00F52D1E">
        <w:rPr>
          <w:rFonts w:cs="Times New Roman"/>
          <w:lang w:val="fr-CA"/>
        </w:rPr>
        <w:t>l’a.</w:t>
      </w:r>
      <w:r w:rsidRPr="00F52D1E">
        <w:rPr>
          <w:rFonts w:cs="Times New Roman"/>
          <w:i/>
          <w:lang w:val="fr-CA"/>
        </w:rPr>
        <w:t>C.p.c. :</w:t>
      </w:r>
      <w:proofErr w:type="gramEnd"/>
      <w:r w:rsidRPr="00F52D1E">
        <w:rPr>
          <w:rFonts w:cs="Times New Roman"/>
          <w:lang w:val="fr-CA"/>
        </w:rPr>
        <w:t xml:space="preserve"> voir, à ce sujet, Castel, p. 21 et 665; </w:t>
      </w:r>
      <w:r w:rsidRPr="00F52D1E">
        <w:rPr>
          <w:rFonts w:cs="Times New Roman"/>
          <w:i/>
          <w:lang w:val="fr-CA"/>
        </w:rPr>
        <w:t>Trower and Sons, Ld. c. Ripstein</w:t>
      </w:r>
      <w:r w:rsidRPr="00F52D1E">
        <w:rPr>
          <w:rFonts w:cs="Times New Roman"/>
          <w:lang w:val="fr-CA"/>
        </w:rPr>
        <w:t xml:space="preserve">, [1944] A.C. 254 (C.P.); </w:t>
      </w:r>
      <w:r w:rsidRPr="00F52D1E">
        <w:rPr>
          <w:rFonts w:cs="Times New Roman"/>
          <w:i/>
          <w:lang w:val="fr-CA"/>
        </w:rPr>
        <w:t>Alimport (Empresa Cubana Importadora de Alimentos) c. Victoria Transport Ltd.</w:t>
      </w:r>
      <w:r w:rsidRPr="00F52D1E">
        <w:rPr>
          <w:rFonts w:cs="Times New Roman"/>
          <w:lang w:val="fr-CA"/>
        </w:rPr>
        <w:t>, [1977] 2 R.C.S. 858, p. 868. Ainsi, l’art. 73 a.</w:t>
      </w:r>
      <w:r w:rsidRPr="00F52D1E">
        <w:rPr>
          <w:rFonts w:cs="Times New Roman"/>
          <w:i/>
          <w:lang w:val="fr-CA"/>
        </w:rPr>
        <w:t>C.p.c.</w:t>
      </w:r>
      <w:r w:rsidRPr="00F52D1E">
        <w:rPr>
          <w:rFonts w:cs="Times New Roman"/>
          <w:lang w:val="fr-CA"/>
        </w:rPr>
        <w:t xml:space="preserve"> était appliqué aux situations internationales, et ce, même si une telle interprétation de cet article « était douteuse puisqu’il parle de district » : Goldstein et Groffier (1998), n° 151; voir également Castel, p. 690</w:t>
      </w:r>
      <w:r w:rsidRPr="00F52D1E">
        <w:rPr>
          <w:rFonts w:cs="Times New Roman"/>
          <w:lang w:val="fr-CA"/>
        </w:rPr>
        <w:noBreakHyphen/>
        <w:t>691.</w:t>
      </w:r>
    </w:p>
    <w:p w:rsidR="00CF3116" w:rsidRPr="00F52D1E" w:rsidRDefault="00CF3116" w:rsidP="00CF3116">
      <w:pPr>
        <w:pStyle w:val="ParaNoNdepar-AltN"/>
        <w:rPr>
          <w:rFonts w:cs="Times New Roman"/>
          <w:lang w:val="fr-CA"/>
        </w:rPr>
      </w:pPr>
      <w:r w:rsidRPr="00F52D1E">
        <w:rPr>
          <w:rFonts w:cs="Times New Roman"/>
          <w:lang w:val="fr-CA"/>
        </w:rPr>
        <w:t>Malgré le texte de l’art. 73 a.</w:t>
      </w:r>
      <w:r w:rsidRPr="00F52D1E">
        <w:rPr>
          <w:rFonts w:cs="Times New Roman"/>
          <w:i/>
          <w:lang w:val="fr-CA"/>
        </w:rPr>
        <w:t>C.p.c.</w:t>
      </w:r>
      <w:r w:rsidRPr="00F52D1E">
        <w:rPr>
          <w:rFonts w:cs="Times New Roman"/>
          <w:lang w:val="fr-CA"/>
        </w:rPr>
        <w:t xml:space="preserve"> qui conférait compétence aux autorités québécoises lorsque le défendeur était domicilié au Québec, celles</w:t>
      </w:r>
      <w:r w:rsidRPr="00F52D1E">
        <w:rPr>
          <w:rFonts w:cs="Times New Roman"/>
          <w:lang w:val="fr-CA"/>
        </w:rPr>
        <w:noBreakHyphen/>
        <w:t>ci ne</w:t>
      </w:r>
      <w:r w:rsidRPr="00F52D1E">
        <w:rPr>
          <w:rFonts w:cs="Times New Roman"/>
          <w:i/>
          <w:lang w:val="fr-CA"/>
        </w:rPr>
        <w:t xml:space="preserve"> </w:t>
      </w:r>
      <w:r w:rsidRPr="00F52D1E">
        <w:rPr>
          <w:rFonts w:cs="Times New Roman"/>
          <w:lang w:val="fr-CA"/>
        </w:rPr>
        <w:t xml:space="preserve">s’estimaient pas compétentes en matière d’actions réelles lorsque l’objet du litige était un immeuble </w:t>
      </w:r>
      <w:r w:rsidR="009E2F25">
        <w:rPr>
          <w:rFonts w:cs="Times New Roman"/>
          <w:lang w:val="fr-CA"/>
        </w:rPr>
        <w:t>situé à l’extérieur du Québec :</w:t>
      </w:r>
    </w:p>
    <w:p w:rsidR="00CF3116" w:rsidRPr="00F52D1E" w:rsidRDefault="00CF3116" w:rsidP="00CF3116">
      <w:pPr>
        <w:pStyle w:val="Citation-AltC"/>
        <w:ind w:firstLine="274"/>
        <w:rPr>
          <w:lang w:val="fr-CA"/>
        </w:rPr>
      </w:pPr>
      <w:r w:rsidRPr="00F52D1E">
        <w:rPr>
          <w:lang w:val="fr-CA"/>
        </w:rPr>
        <w:t xml:space="preserve">Les tribunaux québécois ont compétence exclusive pour statuer en matière de biens immobiliers situés dans la province. </w:t>
      </w:r>
      <w:r w:rsidRPr="00F52D1E">
        <w:rPr>
          <w:u w:val="single"/>
          <w:lang w:val="fr-CA"/>
        </w:rPr>
        <w:t>Ils ne sont jamais compétents lorsqu’il s’agit de statuer sur un immeuble situé à l’étranger</w:t>
      </w:r>
      <w:r w:rsidRPr="00F52D1E">
        <w:rPr>
          <w:lang w:val="fr-CA"/>
        </w:rPr>
        <w:t xml:space="preserve">, qu’il s’agisse de litiges concernant des transactions </w:t>
      </w:r>
      <w:r w:rsidRPr="00F52D1E">
        <w:rPr>
          <w:i/>
          <w:lang w:val="fr-CA"/>
        </w:rPr>
        <w:t>inter vivos</w:t>
      </w:r>
      <w:r w:rsidRPr="00F52D1E">
        <w:rPr>
          <w:lang w:val="fr-CA"/>
        </w:rPr>
        <w:t xml:space="preserve"> ou de successions immobilières.</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u w:val="single"/>
          <w:lang w:val="fr-CA"/>
        </w:rPr>
        <w:t xml:space="preserve">Cette jurisprudence semble aller à l’encontre des dispositions des articles 73 et 74 du Code de procédure civile, qui reconnaissent la compétence de tribunaux autres que ceux du lieu où est situé le bien en litige. C’est pour cela que l’on parle de compétence internationale </w:t>
      </w:r>
      <w:r w:rsidRPr="00F52D1E">
        <w:rPr>
          <w:i/>
          <w:u w:val="single"/>
          <w:lang w:val="fr-CA"/>
        </w:rPr>
        <w:t>ratione materiae</w:t>
      </w:r>
      <w:r w:rsidRPr="00F52D1E">
        <w:rPr>
          <w:u w:val="single"/>
          <w:lang w:val="fr-CA"/>
        </w:rPr>
        <w:t>.</w:t>
      </w:r>
      <w:r w:rsidRPr="00F52D1E">
        <w:rPr>
          <w:lang w:val="fr-CA"/>
        </w:rPr>
        <w:t xml:space="preserve"> Il vaudrait mieux reconnaître que les règles de la compétence </w:t>
      </w:r>
      <w:r w:rsidRPr="00F52D1E">
        <w:rPr>
          <w:lang w:val="fr-CA"/>
        </w:rPr>
        <w:lastRenderedPageBreak/>
        <w:t xml:space="preserve">territoriale interne, énoncées aux articles 73 et 74 C.p.c., ont été adaptées au caractère international de la </w:t>
      </w:r>
      <w:proofErr w:type="gramStart"/>
      <w:r w:rsidRPr="00F52D1E">
        <w:rPr>
          <w:lang w:val="fr-CA"/>
        </w:rPr>
        <w:t>situation .</w:t>
      </w:r>
      <w:proofErr w:type="gramEnd"/>
      <w:r w:rsidRPr="00F52D1E">
        <w:rPr>
          <w:lang w:val="fr-CA"/>
        </w:rPr>
        <w:t> . . [Nous soulignons; note en bas de page omise.]</w:t>
      </w:r>
    </w:p>
    <w:p w:rsidR="00CF3116" w:rsidRPr="00F52D1E" w:rsidRDefault="00CF3116" w:rsidP="00CF3116">
      <w:pPr>
        <w:pStyle w:val="Citation-AltC"/>
        <w:rPr>
          <w:lang w:val="fr-CA"/>
        </w:rPr>
      </w:pPr>
    </w:p>
    <w:p w:rsidR="00CF3116" w:rsidRPr="00F52D1E" w:rsidRDefault="00CF3116" w:rsidP="00443FD4">
      <w:pPr>
        <w:pStyle w:val="Citation-AltC"/>
        <w:ind w:left="0"/>
        <w:rPr>
          <w:lang w:val="fr-CA"/>
        </w:rPr>
      </w:pPr>
      <w:r w:rsidRPr="00F52D1E">
        <w:rPr>
          <w:lang w:val="fr-CA"/>
        </w:rPr>
        <w:t>(Castel, p. 691)</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w:t>
      </w:r>
      <w:r w:rsidRPr="00F52D1E">
        <w:rPr>
          <w:smallCaps/>
          <w:lang w:val="fr-CA"/>
        </w:rPr>
        <w:t>traduction</w:t>
      </w:r>
      <w:r w:rsidRPr="00F52D1E">
        <w:rPr>
          <w:lang w:val="fr-CA"/>
        </w:rPr>
        <w:t xml:space="preserve">] </w:t>
      </w:r>
      <w:r w:rsidRPr="00F52D1E">
        <w:rPr>
          <w:i/>
          <w:lang w:val="fr-CA"/>
        </w:rPr>
        <w:t>Les tribunaux québécois ne se prononceront pas relativement aux terres étrangères :</w:t>
      </w:r>
      <w:r w:rsidRPr="00F52D1E">
        <w:rPr>
          <w:lang w:val="fr-CA"/>
        </w:rPr>
        <w:t xml:space="preserve"> Nos tribunaux ne sont pas compétents pour statuer sur le titre ou le droit de possession de tout immeuble non situé au Québec.</w:t>
      </w:r>
      <w:r w:rsidR="009E2F25">
        <w:rPr>
          <w:lang w:val="fr-CA"/>
        </w:rPr>
        <w:t xml:space="preserve"> [En italique dans l’original.]</w:t>
      </w:r>
    </w:p>
    <w:p w:rsidR="00CF3116" w:rsidRPr="00F52D1E" w:rsidRDefault="00CF3116" w:rsidP="00CF3116">
      <w:pPr>
        <w:pStyle w:val="Citation-AltC"/>
        <w:rPr>
          <w:lang w:val="fr-CA"/>
        </w:rPr>
      </w:pPr>
    </w:p>
    <w:p w:rsidR="00CF3116" w:rsidRPr="00F52D1E" w:rsidRDefault="00CF3116" w:rsidP="00443FD4">
      <w:pPr>
        <w:pStyle w:val="Citation-AltC"/>
        <w:ind w:left="0"/>
        <w:rPr>
          <w:lang w:val="fr-CA"/>
        </w:rPr>
      </w:pPr>
      <w:r w:rsidRPr="00F52D1E">
        <w:rPr>
          <w:lang w:val="fr-CA"/>
        </w:rPr>
        <w:t xml:space="preserve">(W. S. Johnson, </w:t>
      </w:r>
      <w:r w:rsidRPr="00F52D1E">
        <w:rPr>
          <w:i/>
          <w:lang w:val="fr-CA"/>
        </w:rPr>
        <w:t>Conflict of Laws</w:t>
      </w:r>
      <w:r w:rsidRPr="00F52D1E">
        <w:rPr>
          <w:lang w:val="fr-CA"/>
        </w:rPr>
        <w:t xml:space="preserve"> (2</w:t>
      </w:r>
      <w:r w:rsidRPr="00F52D1E">
        <w:rPr>
          <w:vertAlign w:val="superscript"/>
          <w:lang w:val="fr-CA"/>
        </w:rPr>
        <w:t>e</w:t>
      </w:r>
      <w:r w:rsidRPr="00F52D1E">
        <w:rPr>
          <w:lang w:val="fr-CA"/>
        </w:rPr>
        <w:t xml:space="preserve"> éd. 1962), p. 485)</w:t>
      </w:r>
    </w:p>
    <w:p w:rsidR="00CF3116" w:rsidRPr="00F52D1E" w:rsidRDefault="00CF3116" w:rsidP="00CF3116">
      <w:pPr>
        <w:pStyle w:val="ParaNoNdepar-AltN"/>
        <w:rPr>
          <w:rFonts w:cs="Times New Roman"/>
          <w:lang w:val="fr-CA"/>
        </w:rPr>
      </w:pPr>
      <w:r w:rsidRPr="00F52D1E">
        <w:rPr>
          <w:rFonts w:cs="Times New Roman"/>
          <w:lang w:val="fr-CA"/>
        </w:rPr>
        <w:t xml:space="preserve">Selon nous, le professeur Emanuelli résume bien l’état du droit antérieur à la réforme du </w:t>
      </w:r>
      <w:r w:rsidRPr="00F52D1E">
        <w:rPr>
          <w:rFonts w:cs="Times New Roman"/>
          <w:i/>
          <w:lang w:val="fr-CA"/>
        </w:rPr>
        <w:t>Code civil</w:t>
      </w:r>
      <w:r w:rsidR="009E2F25">
        <w:rPr>
          <w:rFonts w:cs="Times New Roman"/>
          <w:lang w:val="fr-CA"/>
        </w:rPr>
        <w:t> :</w:t>
      </w:r>
    </w:p>
    <w:p w:rsidR="00CF3116" w:rsidRPr="00F52D1E" w:rsidRDefault="00CF3116" w:rsidP="00CF3116">
      <w:pPr>
        <w:pStyle w:val="Citation-AltC"/>
        <w:ind w:firstLine="274"/>
        <w:rPr>
          <w:lang w:val="fr-CA"/>
        </w:rPr>
      </w:pPr>
      <w:r w:rsidRPr="00F52D1E">
        <w:rPr>
          <w:lang w:val="fr-CA"/>
        </w:rPr>
        <w:t xml:space="preserve">Avant la réforme du Code civil, pour déterminer la compétence des autorités québécoises à l’égard d’actions réelles et mixtes, la jurisprudence appliquait les articles 73 et 74 C.p.c., dont elle avait adapté les règles aux litiges internationaux en fonction de la distinction entre biens meubles et immeubles. Elle avait ainsi étendu la règle prévoyant la compétence de la </w:t>
      </w:r>
      <w:r w:rsidRPr="00F52D1E">
        <w:rPr>
          <w:i/>
          <w:lang w:val="fr-CA"/>
        </w:rPr>
        <w:t>lex rei sitae</w:t>
      </w:r>
      <w:r w:rsidRPr="00F52D1E">
        <w:rPr>
          <w:lang w:val="fr-CA"/>
        </w:rPr>
        <w:t xml:space="preserve"> aux conflits de juridictions. </w:t>
      </w:r>
      <w:r w:rsidRPr="00F52D1E">
        <w:rPr>
          <w:u w:val="single"/>
          <w:lang w:val="fr-CA"/>
        </w:rPr>
        <w:t>En conséquence, en matière d’actions réelles relatives à un immeuble, les tribunaux québécois étaient compétents seulement si l’immeuble était sis au Québec.</w:t>
      </w:r>
      <w:r w:rsidRPr="00F52D1E">
        <w:rPr>
          <w:lang w:val="fr-CA"/>
        </w:rPr>
        <w:t xml:space="preserve"> En revanche, les tribunaux québécois étaient compétents à l’égard d’une action réelle relative à un meuble si le défendeur était domicilié au Québec ou si le meuble en cause y était situé. Compte tenu de l’application de règles différentes suivant que l’action était relative à un meuble ou à un immeuble, la qualification du bien visé par l’action était nécessaire. Selon l’ancien article 6(2) C.c.B.</w:t>
      </w:r>
      <w:r w:rsidRPr="00F52D1E">
        <w:rPr>
          <w:lang w:val="fr-CA"/>
        </w:rPr>
        <w:noBreakHyphen/>
        <w:t xml:space="preserve">C., la qualification du bien en cause dans une action réelle dépendait du droit québécois, même si le bien était sis à l’étranger. [Nous soulignons; note </w:t>
      </w:r>
      <w:r w:rsidR="009E2F25">
        <w:rPr>
          <w:lang w:val="fr-CA"/>
        </w:rPr>
        <w:t>en bas de page omise; n° 205.]</w:t>
      </w:r>
    </w:p>
    <w:p w:rsidR="00CF3116" w:rsidRPr="00F52D1E" w:rsidRDefault="00CF3116" w:rsidP="00CF3116">
      <w:pPr>
        <w:pStyle w:val="ParaNoNdepar-AltN"/>
        <w:rPr>
          <w:rFonts w:cs="Times New Roman"/>
          <w:lang w:val="fr-CA"/>
        </w:rPr>
      </w:pPr>
      <w:r w:rsidRPr="00F52D1E">
        <w:rPr>
          <w:rFonts w:cs="Times New Roman"/>
          <w:lang w:val="fr-CA"/>
        </w:rPr>
        <w:t>Notons qu’en</w:t>
      </w:r>
      <w:r w:rsidR="000A2C73">
        <w:rPr>
          <w:rFonts w:cs="Times New Roman"/>
          <w:lang w:val="fr-CA"/>
        </w:rPr>
        <w:t xml:space="preserve"> 197</w:t>
      </w:r>
      <w:r w:rsidR="00492DA8">
        <w:rPr>
          <w:rFonts w:cs="Times New Roman"/>
          <w:lang w:val="fr-CA"/>
        </w:rPr>
        <w:t>7</w:t>
      </w:r>
      <w:r w:rsidRPr="00F52D1E">
        <w:rPr>
          <w:rFonts w:cs="Times New Roman"/>
          <w:lang w:val="fr-CA"/>
        </w:rPr>
        <w:t>, l’Office de révision du Code civil (« ORCC ») a suggéré l’</w:t>
      </w:r>
      <w:r w:rsidR="009E2F25">
        <w:rPr>
          <w:rFonts w:cs="Times New Roman"/>
          <w:lang w:val="fr-CA"/>
        </w:rPr>
        <w:t>adoption de l’article suivant :</w:t>
      </w:r>
    </w:p>
    <w:p w:rsidR="00CF3116" w:rsidRPr="00F52D1E" w:rsidRDefault="00CF3116" w:rsidP="00CF3116">
      <w:pPr>
        <w:pStyle w:val="Citation-AltC"/>
        <w:rPr>
          <w:lang w:val="fr-CA"/>
        </w:rPr>
      </w:pPr>
      <w:r w:rsidRPr="00F52D1E">
        <w:rPr>
          <w:b/>
          <w:lang w:val="fr-CA"/>
        </w:rPr>
        <w:t>50.</w:t>
      </w:r>
      <w:r w:rsidRPr="00F52D1E">
        <w:rPr>
          <w:lang w:val="fr-CA"/>
        </w:rPr>
        <w:t xml:space="preserve"> En matière réelle, les tribunaux du Québec ont compétence générale si les biens en litige sont situés </w:t>
      </w:r>
      <w:r w:rsidRPr="00F52D1E">
        <w:rPr>
          <w:u w:val="single"/>
          <w:lang w:val="fr-CA"/>
        </w:rPr>
        <w:t>en tout ou en partie</w:t>
      </w:r>
      <w:r w:rsidRPr="00F52D1E">
        <w:rPr>
          <w:lang w:val="fr-CA"/>
        </w:rPr>
        <w:t xml:space="preserve"> au Québec. [Nous soulignons.]</w:t>
      </w:r>
    </w:p>
    <w:p w:rsidR="00CF3116" w:rsidRPr="00F52D1E" w:rsidRDefault="00CF3116" w:rsidP="00CF3116">
      <w:pPr>
        <w:pStyle w:val="Citation-AltC"/>
        <w:rPr>
          <w:lang w:val="fr-CA"/>
        </w:rPr>
      </w:pPr>
    </w:p>
    <w:p w:rsidR="00CF3116" w:rsidRPr="00F52D1E" w:rsidRDefault="00CF3116" w:rsidP="00AB4954">
      <w:pPr>
        <w:pStyle w:val="Citation-AltC"/>
        <w:ind w:left="0"/>
        <w:rPr>
          <w:lang w:val="fr-CA"/>
        </w:rPr>
      </w:pPr>
      <w:r w:rsidRPr="00F52D1E">
        <w:rPr>
          <w:lang w:val="fr-CA"/>
        </w:rPr>
        <w:lastRenderedPageBreak/>
        <w:t xml:space="preserve">(Office de révision du Code civil, </w:t>
      </w:r>
      <w:r w:rsidRPr="00F52D1E">
        <w:rPr>
          <w:i/>
          <w:lang w:val="fr-CA"/>
        </w:rPr>
        <w:t>Rapport sur le Code civil du Québec</w:t>
      </w:r>
      <w:r w:rsidRPr="00F52D1E">
        <w:rPr>
          <w:lang w:val="fr-CA"/>
        </w:rPr>
        <w:t xml:space="preserve">, vol. I, </w:t>
      </w:r>
      <w:r w:rsidRPr="00F52D1E">
        <w:rPr>
          <w:i/>
          <w:lang w:val="fr-CA"/>
        </w:rPr>
        <w:t>Projet de Code civil</w:t>
      </w:r>
      <w:r w:rsidRPr="00F52D1E">
        <w:rPr>
          <w:lang w:val="fr-CA"/>
        </w:rPr>
        <w:t xml:space="preserve"> (1978), p. 608)</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 xml:space="preserve">L’article est conforme à la pratique québécoise. Il est basé en partie sur l’article </w:t>
      </w:r>
      <w:r w:rsidR="009E2F25">
        <w:rPr>
          <w:lang w:val="fr-CA"/>
        </w:rPr>
        <w:t>73 du Code de procédure civile.</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u w:val="single"/>
          <w:lang w:val="fr-CA"/>
        </w:rPr>
        <w:t>En ce qui concerne l’action mixte, on n’a pas cru devoir adopter une règle particulière, estimant qu’une telle action ne peut être intentée au Québec à moins que les tribunaux n’aient compétence tant en ce qui concerne l’aspect personnel que l’aspect réel du litige</w:t>
      </w:r>
      <w:r w:rsidRPr="00F52D1E">
        <w:rPr>
          <w:lang w:val="fr-CA"/>
        </w:rPr>
        <w:t>. [Nous soulignons.]</w:t>
      </w:r>
    </w:p>
    <w:p w:rsidR="00CF3116" w:rsidRPr="00F52D1E" w:rsidRDefault="00CF3116" w:rsidP="00CF3116">
      <w:pPr>
        <w:pStyle w:val="Citation-AltC"/>
        <w:rPr>
          <w:lang w:val="fr-CA"/>
        </w:rPr>
      </w:pPr>
    </w:p>
    <w:p w:rsidR="00CF3116" w:rsidRPr="00F52D1E" w:rsidRDefault="00CF3116" w:rsidP="00AB4954">
      <w:pPr>
        <w:pStyle w:val="Citation-AltC"/>
        <w:ind w:left="0"/>
        <w:rPr>
          <w:lang w:val="fr-CA"/>
        </w:rPr>
      </w:pPr>
      <w:r w:rsidRPr="00F52D1E">
        <w:rPr>
          <w:lang w:val="fr-CA"/>
        </w:rPr>
        <w:t>(Office de révision du Code civil,</w:t>
      </w:r>
      <w:r w:rsidRPr="00F52D1E">
        <w:rPr>
          <w:i/>
          <w:lang w:val="fr-CA"/>
        </w:rPr>
        <w:t xml:space="preserve"> Rapport sur le Code civil du Québec</w:t>
      </w:r>
      <w:r w:rsidRPr="00F52D1E">
        <w:rPr>
          <w:lang w:val="fr-CA"/>
        </w:rPr>
        <w:t xml:space="preserve">, vol. II, t. 2, </w:t>
      </w:r>
      <w:r w:rsidRPr="00F52D1E">
        <w:rPr>
          <w:i/>
          <w:lang w:val="fr-CA"/>
        </w:rPr>
        <w:t>Commentaires</w:t>
      </w:r>
      <w:r w:rsidRPr="00F52D1E">
        <w:rPr>
          <w:lang w:val="fr-CA"/>
        </w:rPr>
        <w:t xml:space="preserve"> (1978), p. 1005)</w:t>
      </w:r>
    </w:p>
    <w:p w:rsidR="00CF3116" w:rsidRPr="00F52D1E" w:rsidRDefault="00CF3116" w:rsidP="00CF3116">
      <w:pPr>
        <w:pStyle w:val="ParaNoNdepar-AltN"/>
        <w:rPr>
          <w:rFonts w:cs="Times New Roman"/>
          <w:lang w:val="fr-CA"/>
        </w:rPr>
      </w:pPr>
      <w:r w:rsidRPr="00F52D1E">
        <w:rPr>
          <w:rFonts w:cs="Times New Roman"/>
          <w:lang w:val="fr-CA"/>
        </w:rPr>
        <w:t>En 1988, l’avant</w:t>
      </w:r>
      <w:r w:rsidRPr="00F52D1E">
        <w:rPr>
          <w:rFonts w:cs="Times New Roman"/>
          <w:lang w:val="fr-CA"/>
        </w:rPr>
        <w:noBreakHyphen/>
        <w:t xml:space="preserve">projet de loi intitulé </w:t>
      </w:r>
      <w:r w:rsidRPr="00F52D1E">
        <w:rPr>
          <w:rFonts w:cs="Times New Roman"/>
          <w:i/>
          <w:lang w:val="fr-CA"/>
        </w:rPr>
        <w:t>Loi portant réforme au Code civil du Québec du droit de la preuve et de la prescription et du droit international privé</w:t>
      </w:r>
      <w:r w:rsidRPr="00F52D1E">
        <w:rPr>
          <w:rFonts w:cs="Times New Roman"/>
          <w:lang w:val="fr-CA"/>
        </w:rPr>
        <w:t>, 2</w:t>
      </w:r>
      <w:r w:rsidRPr="00F52D1E">
        <w:rPr>
          <w:rFonts w:cs="Times New Roman"/>
          <w:vertAlign w:val="superscript"/>
          <w:lang w:val="fr-CA"/>
        </w:rPr>
        <w:t>e</w:t>
      </w:r>
      <w:r w:rsidRPr="00F52D1E">
        <w:rPr>
          <w:rFonts w:cs="Times New Roman"/>
          <w:lang w:val="fr-CA"/>
        </w:rPr>
        <w:t xml:space="preserve"> sess., 33</w:t>
      </w:r>
      <w:r w:rsidRPr="00F52D1E">
        <w:rPr>
          <w:rFonts w:cs="Times New Roman"/>
          <w:vertAlign w:val="superscript"/>
          <w:lang w:val="fr-CA"/>
        </w:rPr>
        <w:t>e</w:t>
      </w:r>
      <w:r w:rsidRPr="00F52D1E">
        <w:rPr>
          <w:rFonts w:cs="Times New Roman"/>
          <w:lang w:val="fr-CA"/>
        </w:rPr>
        <w:t xml:space="preserve"> lég., prévoyait à l’art. 3514 une disposition générale selon laquelle :</w:t>
      </w:r>
    </w:p>
    <w:p w:rsidR="00CF3116" w:rsidRPr="00F52D1E" w:rsidRDefault="00CF3116" w:rsidP="00CF3116">
      <w:pPr>
        <w:pStyle w:val="Citation-AltC"/>
        <w:ind w:firstLine="274"/>
        <w:rPr>
          <w:lang w:val="fr-CA"/>
        </w:rPr>
      </w:pPr>
      <w:r w:rsidRPr="00F52D1E">
        <w:rPr>
          <w:b/>
          <w:lang w:val="fr-CA"/>
        </w:rPr>
        <w:t>3514.</w:t>
      </w:r>
      <w:r w:rsidRPr="00F52D1E">
        <w:rPr>
          <w:lang w:val="fr-CA"/>
        </w:rPr>
        <w:t xml:space="preserve"> Le tribunal du Québec est compétent pour connaître d’une action réelle si le bien en litige est situé au Québec; il l’est également lorsque l’action porte sur un bien meuble, si le défe</w:t>
      </w:r>
      <w:r w:rsidR="009E2F25">
        <w:rPr>
          <w:lang w:val="fr-CA"/>
        </w:rPr>
        <w:t>ndeur a son domicile au Québec.</w:t>
      </w:r>
    </w:p>
    <w:p w:rsidR="00CF3116" w:rsidRPr="00F52D1E" w:rsidRDefault="00CF3116" w:rsidP="00CF3116">
      <w:pPr>
        <w:pStyle w:val="ParaNoNdepar-AltN"/>
        <w:rPr>
          <w:rFonts w:cs="Times New Roman"/>
          <w:lang w:val="fr-CA"/>
        </w:rPr>
      </w:pPr>
      <w:r w:rsidRPr="00F52D1E">
        <w:rPr>
          <w:rFonts w:cs="Times New Roman"/>
          <w:lang w:val="fr-CA"/>
        </w:rPr>
        <w:t>Comme l’a noté Groffier, p. 276, « [c]ette rédaction permet d’éviter toute hésitation sur l’incompétence du tribunal du Québec lorsque l’immeuble n’est pas situé dans le Québec ». L’avant</w:t>
      </w:r>
      <w:r w:rsidRPr="00F52D1E">
        <w:rPr>
          <w:rFonts w:cs="Times New Roman"/>
          <w:lang w:val="fr-CA"/>
        </w:rPr>
        <w:noBreakHyphen/>
        <w:t xml:space="preserve">projet de loi conférait cependant la compétence du tribunal « lorsque l’action </w:t>
      </w:r>
      <w:proofErr w:type="gramStart"/>
      <w:r w:rsidRPr="00F52D1E">
        <w:rPr>
          <w:rFonts w:cs="Times New Roman"/>
          <w:lang w:val="fr-CA"/>
        </w:rPr>
        <w:t>port[</w:t>
      </w:r>
      <w:proofErr w:type="gramEnd"/>
      <w:r w:rsidRPr="00F52D1E">
        <w:rPr>
          <w:rFonts w:cs="Times New Roman"/>
          <w:lang w:val="fr-CA"/>
        </w:rPr>
        <w:t>ait] sur un bien meuble, si le défendeur a son domicile au Québec » : art. 3514. Dans son mémoire présenté en mars 1989 à la Commission des institutions, le Barreau du Québec a cependant suggéré que cette dernière port</w:t>
      </w:r>
      <w:r w:rsidR="009E2F25">
        <w:rPr>
          <w:rFonts w:cs="Times New Roman"/>
          <w:lang w:val="fr-CA"/>
        </w:rPr>
        <w:t>ion de la phrase soit retirée :</w:t>
      </w:r>
    </w:p>
    <w:p w:rsidR="00CF3116" w:rsidRPr="00F52D1E" w:rsidRDefault="00CF3116" w:rsidP="00CF3116">
      <w:pPr>
        <w:pStyle w:val="Citation-AltC"/>
        <w:ind w:firstLine="274"/>
        <w:rPr>
          <w:lang w:val="fr-CA"/>
        </w:rPr>
      </w:pPr>
      <w:r w:rsidRPr="00F52D1E">
        <w:rPr>
          <w:lang w:val="fr-CA"/>
        </w:rPr>
        <w:t xml:space="preserve">La deuxième phrase de cet article pose un problème, notamment </w:t>
      </w:r>
      <w:r w:rsidRPr="00F52D1E">
        <w:rPr>
          <w:u w:val="single"/>
          <w:lang w:val="fr-CA"/>
        </w:rPr>
        <w:t>lorsque le bien est situé à l’étranger; la saisie d’un tel bien se trouve alors hors du contrôle du tribunal québécois. Le focus doit d’abord se placer sur le bien, non pas sur le défendeur.</w:t>
      </w:r>
      <w:r w:rsidRPr="00F52D1E">
        <w:rPr>
          <w:lang w:val="fr-CA"/>
        </w:rPr>
        <w:t xml:space="preserve"> [Nous soulignons.]</w:t>
      </w:r>
    </w:p>
    <w:p w:rsidR="00CF3116" w:rsidRPr="00F52D1E" w:rsidRDefault="00CF3116" w:rsidP="00CF3116">
      <w:pPr>
        <w:pStyle w:val="Citation-AltC"/>
        <w:rPr>
          <w:lang w:val="fr-CA"/>
        </w:rPr>
      </w:pPr>
    </w:p>
    <w:p w:rsidR="00CF3116" w:rsidRPr="00F52D1E" w:rsidRDefault="00CF3116" w:rsidP="00AB4954">
      <w:pPr>
        <w:pStyle w:val="Citation-AltC"/>
        <w:ind w:left="0"/>
        <w:rPr>
          <w:lang w:val="fr-CA"/>
        </w:rPr>
      </w:pPr>
      <w:r w:rsidRPr="00F52D1E">
        <w:rPr>
          <w:lang w:val="fr-CA"/>
        </w:rPr>
        <w:t>(</w:t>
      </w:r>
      <w:r w:rsidRPr="00F52D1E">
        <w:rPr>
          <w:i/>
          <w:lang w:val="fr-CA"/>
        </w:rPr>
        <w:t>Mémoire du Barreau du Québec sur l’avant</w:t>
      </w:r>
      <w:r w:rsidRPr="00F52D1E">
        <w:rPr>
          <w:i/>
          <w:lang w:val="fr-CA"/>
        </w:rPr>
        <w:noBreakHyphen/>
        <w:t>projet de loi portant réforme au Code civil du Québec du droit international privé</w:t>
      </w:r>
      <w:r w:rsidRPr="00F52D1E">
        <w:rPr>
          <w:lang w:val="fr-CA"/>
        </w:rPr>
        <w:t xml:space="preserve">, p. 49; voir aussi, à ce sujet, Goldstein et Groffier (2003), n° 311; E. Groffier, </w:t>
      </w:r>
      <w:r w:rsidRPr="00F52D1E">
        <w:rPr>
          <w:i/>
          <w:lang w:val="fr-CA"/>
        </w:rPr>
        <w:t>La réforme du droit international privé québécois : Supplément au Précis de droit international privé québécois</w:t>
      </w:r>
      <w:r w:rsidRPr="00F52D1E">
        <w:rPr>
          <w:lang w:val="fr-CA"/>
        </w:rPr>
        <w:t xml:space="preserve"> (1993), p. 144; Emanuelli, n° 163.)</w:t>
      </w:r>
    </w:p>
    <w:p w:rsidR="00CF3116" w:rsidRPr="00F52D1E" w:rsidRDefault="00CF3116" w:rsidP="00CF3116">
      <w:pPr>
        <w:pStyle w:val="ContinueParaSuitedupar-AltP"/>
        <w:rPr>
          <w:rFonts w:cs="Times New Roman"/>
          <w:lang w:val="fr-CA"/>
        </w:rPr>
      </w:pPr>
      <w:r w:rsidRPr="00F52D1E">
        <w:rPr>
          <w:rFonts w:cs="Times New Roman"/>
          <w:lang w:val="fr-CA"/>
        </w:rPr>
        <w:t xml:space="preserve">La suggestion du Barreau a manifestement porté fruit, puisque, en fin de compte, l’art. 3130 du </w:t>
      </w:r>
      <w:r w:rsidRPr="00F52D1E">
        <w:rPr>
          <w:rFonts w:cs="Times New Roman"/>
          <w:i/>
          <w:lang w:val="fr-CA"/>
        </w:rPr>
        <w:t>Code civil du Québec</w:t>
      </w:r>
      <w:r w:rsidRPr="00F52D1E">
        <w:rPr>
          <w:rFonts w:cs="Times New Roman"/>
          <w:lang w:val="fr-CA"/>
        </w:rPr>
        <w:t>,</w:t>
      </w:r>
      <w:r w:rsidRPr="00F52D1E">
        <w:rPr>
          <w:rFonts w:cs="Times New Roman"/>
          <w:i/>
          <w:lang w:val="fr-CA"/>
        </w:rPr>
        <w:t xml:space="preserve"> </w:t>
      </w:r>
      <w:r w:rsidRPr="00F52D1E">
        <w:rPr>
          <w:rFonts w:cs="Times New Roman"/>
          <w:lang w:val="fr-CA"/>
        </w:rPr>
        <w:t>projet de loi 125, 1</w:t>
      </w:r>
      <w:r w:rsidRPr="00F52D1E">
        <w:rPr>
          <w:rFonts w:cs="Times New Roman"/>
          <w:vertAlign w:val="superscript"/>
          <w:lang w:val="fr-CA"/>
        </w:rPr>
        <w:t>re</w:t>
      </w:r>
      <w:r w:rsidRPr="00F52D1E">
        <w:rPr>
          <w:rFonts w:cs="Times New Roman"/>
          <w:lang w:val="fr-CA"/>
        </w:rPr>
        <w:t xml:space="preserve"> </w:t>
      </w:r>
      <w:proofErr w:type="gramStart"/>
      <w:r w:rsidRPr="00F52D1E">
        <w:rPr>
          <w:rFonts w:cs="Times New Roman"/>
          <w:lang w:val="fr-CA"/>
        </w:rPr>
        <w:t>sess.,</w:t>
      </w:r>
      <w:proofErr w:type="gramEnd"/>
      <w:r w:rsidRPr="00F52D1E">
        <w:rPr>
          <w:rFonts w:cs="Times New Roman"/>
          <w:lang w:val="fr-CA"/>
        </w:rPr>
        <w:t xml:space="preserve"> 34</w:t>
      </w:r>
      <w:r w:rsidRPr="00F52D1E">
        <w:rPr>
          <w:rFonts w:cs="Times New Roman"/>
          <w:vertAlign w:val="superscript"/>
          <w:lang w:val="fr-CA"/>
        </w:rPr>
        <w:t>e</w:t>
      </w:r>
      <w:r w:rsidRPr="00F52D1E">
        <w:rPr>
          <w:rFonts w:cs="Times New Roman"/>
          <w:lang w:val="fr-CA"/>
        </w:rPr>
        <w:t xml:space="preserve"> lég., 1990, était </w:t>
      </w:r>
      <w:r w:rsidRPr="00F52D1E">
        <w:rPr>
          <w:rFonts w:cs="Times New Roman"/>
          <w:i/>
          <w:lang w:val="fr-CA"/>
        </w:rPr>
        <w:t xml:space="preserve">identique </w:t>
      </w:r>
      <w:r w:rsidRPr="00F52D1E">
        <w:rPr>
          <w:rFonts w:cs="Times New Roman"/>
          <w:lang w:val="fr-CA"/>
        </w:rPr>
        <w:t xml:space="preserve">à l’actuel art. 3152 </w:t>
      </w:r>
      <w:r w:rsidRPr="00F52D1E">
        <w:rPr>
          <w:rFonts w:cs="Times New Roman"/>
          <w:i/>
          <w:lang w:val="fr-CA"/>
        </w:rPr>
        <w:t>C.c.Q.</w:t>
      </w:r>
      <w:r w:rsidRPr="00F52D1E">
        <w:rPr>
          <w:rFonts w:cs="Times New Roman"/>
          <w:lang w:val="fr-CA"/>
        </w:rPr>
        <w:t>, et était donc rédigé comme s</w:t>
      </w:r>
      <w:r w:rsidR="009E2F25">
        <w:rPr>
          <w:rFonts w:cs="Times New Roman"/>
          <w:lang w:val="fr-CA"/>
        </w:rPr>
        <w:t>uit :</w:t>
      </w:r>
    </w:p>
    <w:p w:rsidR="00CF3116" w:rsidRPr="00F52D1E" w:rsidRDefault="00CF3116" w:rsidP="00CF3116">
      <w:pPr>
        <w:pStyle w:val="Citation-AltC"/>
        <w:ind w:firstLine="274"/>
        <w:rPr>
          <w:lang w:val="fr-CA"/>
        </w:rPr>
      </w:pPr>
      <w:r w:rsidRPr="00F52D1E">
        <w:rPr>
          <w:b/>
          <w:lang w:val="fr-CA"/>
        </w:rPr>
        <w:t>3130.</w:t>
      </w:r>
      <w:r w:rsidRPr="00F52D1E">
        <w:rPr>
          <w:lang w:val="fr-CA"/>
        </w:rPr>
        <w:t xml:space="preserve"> Les autorités québécoises sont compétentes pour connaître d’une action réelle </w:t>
      </w:r>
      <w:r w:rsidRPr="00F52D1E">
        <w:rPr>
          <w:u w:val="single"/>
          <w:lang w:val="fr-CA"/>
        </w:rPr>
        <w:t>si le bien en litige est situé au Québec</w:t>
      </w:r>
      <w:r w:rsidRPr="00F52D1E">
        <w:rPr>
          <w:lang w:val="fr-CA"/>
        </w:rPr>
        <w:t xml:space="preserve">. </w:t>
      </w:r>
    </w:p>
    <w:p w:rsidR="00CF3116" w:rsidRPr="00F52D1E" w:rsidRDefault="00CF3116" w:rsidP="00CF3116">
      <w:pPr>
        <w:pStyle w:val="ContinueParaSuitedupar-AltP"/>
        <w:rPr>
          <w:rFonts w:cs="Times New Roman"/>
          <w:lang w:val="fr-CA"/>
        </w:rPr>
      </w:pPr>
      <w:r w:rsidRPr="00F52D1E">
        <w:rPr>
          <w:rFonts w:cs="Times New Roman"/>
          <w:lang w:val="fr-CA"/>
        </w:rPr>
        <w:t xml:space="preserve">C’est aussi ce qu’indiquent les commentaires détaillés du </w:t>
      </w:r>
      <w:r w:rsidRPr="00F52D1E">
        <w:rPr>
          <w:rFonts w:cs="Times New Roman"/>
          <w:i/>
          <w:lang w:val="fr-CA"/>
        </w:rPr>
        <w:t xml:space="preserve">Projet de loi 125 : Code civil du Québec, Commentaires détaillés sur les dispositions du projet, Livre X : Du droit international privé et disposition finale (Art. 3053 à 3144) </w:t>
      </w:r>
      <w:r w:rsidR="009E2F25">
        <w:rPr>
          <w:rFonts w:cs="Times New Roman"/>
          <w:lang w:val="fr-CA"/>
        </w:rPr>
        <w:t>(1991), p. 110 :</w:t>
      </w:r>
    </w:p>
    <w:p w:rsidR="00CF3116" w:rsidRPr="00F52D1E" w:rsidRDefault="00CF3116" w:rsidP="00CF3116">
      <w:pPr>
        <w:pStyle w:val="Citation-AltC"/>
        <w:ind w:firstLine="274"/>
      </w:pPr>
      <w:r w:rsidRPr="00F52D1E">
        <w:rPr>
          <w:u w:val="single"/>
          <w:lang w:val="fr-CA"/>
        </w:rPr>
        <w:t>L’article, de droit nouveau, reprend la proposition de l’O.R.C.C.</w:t>
      </w:r>
      <w:r w:rsidRPr="00F52D1E">
        <w:rPr>
          <w:lang w:val="fr-CA"/>
        </w:rPr>
        <w:t xml:space="preserve"> Il donne compétence aux autorités québécoises de la situation du bien en matière d’action réelle assurant ainsi la concordance entre la loi applicable (art. 3073) et la compétence juridictionnelle. </w:t>
      </w:r>
      <w:r w:rsidRPr="00F52D1E">
        <w:rPr>
          <w:u w:val="single"/>
          <w:lang w:val="fr-CA"/>
        </w:rPr>
        <w:t>Contrairement à l’article 73 C.p.c. relatif à la compétence des tribunaux du Québec en matière d’action réelle et d’action mixte, l’article proposé ne retient pas la compétence fondée sur le domicile du défendeur. Ce critère est plus pertinent en matière d’action mixte qu’en matière d’action réelle</w:t>
      </w:r>
      <w:r w:rsidRPr="0019745F">
        <w:rPr>
          <w:u w:val="single"/>
          <w:lang w:val="fr-CA"/>
        </w:rPr>
        <w:t>.</w:t>
      </w:r>
      <w:r w:rsidRPr="00F52D1E">
        <w:rPr>
          <w:lang w:val="fr-CA"/>
        </w:rPr>
        <w:t xml:space="preserve"> [Nous soulignons.]</w:t>
      </w:r>
    </w:p>
    <w:p w:rsidR="00CF3116" w:rsidRPr="00F52D1E" w:rsidRDefault="00CF3116" w:rsidP="00CF3116">
      <w:pPr>
        <w:pStyle w:val="ParaNoNdepar-AltN"/>
        <w:rPr>
          <w:rFonts w:cs="Times New Roman"/>
          <w:lang w:val="fr-CA"/>
        </w:rPr>
      </w:pPr>
      <w:r w:rsidRPr="00F52D1E">
        <w:rPr>
          <w:rFonts w:cs="Times New Roman"/>
          <w:lang w:val="fr-CA"/>
        </w:rPr>
        <w:t xml:space="preserve">Les commentaires du ministre de la Justice sur l’art. 3152 </w:t>
      </w:r>
      <w:r w:rsidRPr="00F52D1E">
        <w:rPr>
          <w:rFonts w:cs="Times New Roman"/>
          <w:i/>
          <w:lang w:val="fr-CA"/>
        </w:rPr>
        <w:t>C.c.Q.</w:t>
      </w:r>
      <w:r w:rsidRPr="00F52D1E">
        <w:rPr>
          <w:rFonts w:cs="Times New Roman"/>
          <w:lang w:val="fr-CA"/>
        </w:rPr>
        <w:t xml:space="preserve"> sont q</w:t>
      </w:r>
      <w:r w:rsidR="009E2F25">
        <w:rPr>
          <w:rFonts w:cs="Times New Roman"/>
          <w:lang w:val="fr-CA"/>
        </w:rPr>
        <w:t>uant à eux rédigés comme suit :</w:t>
      </w:r>
    </w:p>
    <w:p w:rsidR="00CF3116" w:rsidRPr="00F52D1E" w:rsidRDefault="00CF3116" w:rsidP="00CF3116">
      <w:pPr>
        <w:pStyle w:val="Citation-AltC"/>
        <w:ind w:firstLine="274"/>
        <w:rPr>
          <w:lang w:val="fr-CA"/>
        </w:rPr>
      </w:pPr>
      <w:r w:rsidRPr="00F52D1E">
        <w:rPr>
          <w:lang w:val="fr-CA"/>
        </w:rPr>
        <w:t xml:space="preserve">Cet article, de droit nouveau, attribue une compétence en matière d’action réelle aux autorités québécoises de la situation du bien, établissant ainsi la concordance entre la loi applicable (art. 3097) et la compétence juridictionnelle. Contrairement à l’article 73 C.P.C. relatif à la compétence des tribunaux du Québec en matière d’action réelle et d’action mixte, </w:t>
      </w:r>
      <w:r w:rsidRPr="00F52D1E">
        <w:rPr>
          <w:lang w:val="fr-CA"/>
        </w:rPr>
        <w:lastRenderedPageBreak/>
        <w:t>l’article 3152 ne retient pas la compétence fondée sur le domicile du défendeur. Ce critère est plus pertinent en matière d’action mixte qu’en ma</w:t>
      </w:r>
      <w:r w:rsidR="009E2F25">
        <w:rPr>
          <w:lang w:val="fr-CA"/>
        </w:rPr>
        <w:t>tière d’action réelle.</w:t>
      </w:r>
    </w:p>
    <w:p w:rsidR="00CF3116" w:rsidRPr="00F52D1E" w:rsidRDefault="00CF3116" w:rsidP="00CF3116">
      <w:pPr>
        <w:pStyle w:val="Citation-AltC"/>
        <w:rPr>
          <w:lang w:val="fr-CA"/>
        </w:rPr>
      </w:pPr>
    </w:p>
    <w:p w:rsidR="00CF3116" w:rsidRPr="00F52D1E" w:rsidRDefault="00CF3116" w:rsidP="00AB4954">
      <w:pPr>
        <w:pStyle w:val="Citation-AltC"/>
        <w:ind w:left="0"/>
        <w:rPr>
          <w:lang w:val="fr-CA"/>
        </w:rPr>
      </w:pPr>
      <w:r w:rsidRPr="00F52D1E">
        <w:rPr>
          <w:lang w:val="fr-CA"/>
        </w:rPr>
        <w:t xml:space="preserve">(Ministère de la Justice, </w:t>
      </w:r>
      <w:r w:rsidRPr="00F52D1E">
        <w:rPr>
          <w:i/>
          <w:lang w:val="fr-CA"/>
        </w:rPr>
        <w:t>Commentaires du ministre de la Justice</w:t>
      </w:r>
      <w:r w:rsidRPr="00F52D1E">
        <w:rPr>
          <w:lang w:val="fr-CA"/>
        </w:rPr>
        <w:t xml:space="preserve">, vol. II, </w:t>
      </w:r>
      <w:r w:rsidRPr="00F52D1E">
        <w:rPr>
          <w:i/>
          <w:lang w:val="fr-CA"/>
        </w:rPr>
        <w:t>Le Code civil du Québec — Un mouvement de société</w:t>
      </w:r>
      <w:r w:rsidRPr="00F52D1E">
        <w:rPr>
          <w:lang w:val="fr-CA"/>
        </w:rPr>
        <w:t xml:space="preserve"> (1993), p. 2012)</w:t>
      </w:r>
    </w:p>
    <w:p w:rsidR="00CF3116" w:rsidRPr="00F52D1E" w:rsidRDefault="00CF3116" w:rsidP="00CF3116">
      <w:pPr>
        <w:pStyle w:val="ParaNoNdepar-AltN"/>
        <w:rPr>
          <w:rFonts w:cs="Times New Roman"/>
          <w:lang w:val="fr-CA"/>
        </w:rPr>
      </w:pPr>
      <w:r w:rsidRPr="00F52D1E">
        <w:rPr>
          <w:rFonts w:cs="Times New Roman"/>
          <w:lang w:val="fr-CA"/>
        </w:rPr>
        <w:t>En somme, « [l]a position des biens meubles est alignée sur celle des immeubles » et « [c]’est le tribunal de la situation du bien qui est compétent lorsqu’il s’agit d’une action réelle, quelle que soit la nature du bien sur lequel elle porte » : Goldstein et Groffier (1998), n° 151</w:t>
      </w:r>
      <w:r w:rsidR="009E2F25">
        <w:rPr>
          <w:rFonts w:cs="Times New Roman"/>
          <w:lang w:val="fr-CA"/>
        </w:rPr>
        <w:t>; voir aussi Emanuelli, n° 206.</w:t>
      </w:r>
    </w:p>
    <w:p w:rsidR="00CF3116" w:rsidRPr="00F52D1E" w:rsidRDefault="00CF3116" w:rsidP="00CF3116">
      <w:pPr>
        <w:pStyle w:val="ParaNoNdepar-AltN"/>
        <w:rPr>
          <w:rFonts w:cs="Times New Roman"/>
          <w:lang w:val="fr-CA"/>
        </w:rPr>
      </w:pPr>
      <w:r w:rsidRPr="00F52D1E">
        <w:rPr>
          <w:rFonts w:cs="Times New Roman"/>
          <w:lang w:val="fr-CA"/>
        </w:rPr>
        <w:t xml:space="preserve">L’historique législatif de l’art. 3152 </w:t>
      </w:r>
      <w:r w:rsidRPr="00F52D1E">
        <w:rPr>
          <w:rFonts w:cs="Times New Roman"/>
          <w:i/>
          <w:lang w:val="fr-CA"/>
        </w:rPr>
        <w:t>C.c.Q.</w:t>
      </w:r>
      <w:r w:rsidRPr="00F52D1E">
        <w:rPr>
          <w:rFonts w:cs="Times New Roman"/>
          <w:lang w:val="fr-CA"/>
        </w:rPr>
        <w:t xml:space="preserve"> permet de tirer trois conclusions qui sont toutes d’une grande importance en l’espèce. Premièrement, l’art. 3152 </w:t>
      </w:r>
      <w:r w:rsidRPr="00F52D1E">
        <w:rPr>
          <w:rFonts w:cs="Times New Roman"/>
          <w:i/>
          <w:lang w:val="fr-CA"/>
        </w:rPr>
        <w:t>C.c.Q.</w:t>
      </w:r>
      <w:r w:rsidRPr="00F52D1E">
        <w:rPr>
          <w:rFonts w:cs="Times New Roman"/>
          <w:lang w:val="fr-CA"/>
        </w:rPr>
        <w:t xml:space="preserve"> confirme un principe bien établi, à savoir l’incompétence des autorités québécoises en matière d’action réelle immobilière lorsque l’objet du litige est situé à l’extérieur du Québec. En fait, non seulement l’art. 3152 </w:t>
      </w:r>
      <w:r w:rsidRPr="00F52D1E">
        <w:rPr>
          <w:rFonts w:cs="Times New Roman"/>
          <w:i/>
          <w:lang w:val="fr-CA"/>
        </w:rPr>
        <w:t>C.c.Q.</w:t>
      </w:r>
      <w:r w:rsidRPr="00F52D1E">
        <w:rPr>
          <w:rFonts w:cs="Times New Roman"/>
          <w:lang w:val="fr-CA"/>
        </w:rPr>
        <w:t xml:space="preserve"> confirme</w:t>
      </w:r>
      <w:r w:rsidRPr="00F52D1E">
        <w:rPr>
          <w:rFonts w:cs="Times New Roman"/>
          <w:lang w:val="fr-CA"/>
        </w:rPr>
        <w:noBreakHyphen/>
        <w:t>t</w:t>
      </w:r>
      <w:r w:rsidRPr="00F52D1E">
        <w:rPr>
          <w:rFonts w:cs="Times New Roman"/>
          <w:lang w:val="fr-CA"/>
        </w:rPr>
        <w:noBreakHyphen/>
        <w:t xml:space="preserve">il ce principe, mais il l’étend aux actions réelles mobilières. En matière d’action réelle, immobilière ou mobilière, les autorités québécoises sont désormais incompétentes si l’objet du litige n’est pas situé au Québec. En particulier, le domicile du défendeur ne confère pas compétence aux autorités québécoises en matière d’action réelle — peu importe que l’objet du litige soit un immeuble ou un meuble, l’art. 3134 </w:t>
      </w:r>
      <w:r w:rsidRPr="00F52D1E">
        <w:rPr>
          <w:rFonts w:cs="Times New Roman"/>
          <w:i/>
          <w:lang w:val="fr-CA"/>
        </w:rPr>
        <w:t>C.c.Q.</w:t>
      </w:r>
      <w:r w:rsidRPr="00F52D1E">
        <w:rPr>
          <w:rFonts w:cs="Times New Roman"/>
          <w:lang w:val="fr-CA"/>
        </w:rPr>
        <w:t xml:space="preserve"> énonçant expressément que cette règle ne s’applique qu’en l’absence d’une disposition particulière : Goldstein, p. 271 et 275.</w:t>
      </w:r>
    </w:p>
    <w:p w:rsidR="00CF3116" w:rsidRPr="00F52D1E" w:rsidRDefault="00CF3116" w:rsidP="00CF3116">
      <w:pPr>
        <w:pStyle w:val="ParaNoNdepar-AltN"/>
        <w:rPr>
          <w:rFonts w:cs="Times New Roman"/>
          <w:lang w:val="fr-CA"/>
        </w:rPr>
      </w:pPr>
      <w:r w:rsidRPr="00F52D1E">
        <w:rPr>
          <w:rFonts w:cs="Times New Roman"/>
          <w:lang w:val="fr-CA"/>
        </w:rPr>
        <w:t xml:space="preserve">En l’espèce, ce principe est important, puisque les défenderesses IOC et QNS&amp;L sont domiciliées au Québec et que les juridictions d’instances inférieures ont </w:t>
      </w:r>
      <w:r w:rsidRPr="00F52D1E">
        <w:rPr>
          <w:rFonts w:cs="Times New Roman"/>
          <w:lang w:val="fr-CA"/>
        </w:rPr>
        <w:lastRenderedPageBreak/>
        <w:t>fondé leur déclaration de compétence à l’égard de l’ensemble du litige sur ce chef de compétence : motifs de la C.S., par. 82 et 93</w:t>
      </w:r>
      <w:r w:rsidRPr="00F52D1E">
        <w:rPr>
          <w:rFonts w:cs="Times New Roman"/>
          <w:lang w:val="fr-CA"/>
        </w:rPr>
        <w:noBreakHyphen/>
        <w:t>102; motifs</w:t>
      </w:r>
      <w:r w:rsidR="009E2F25">
        <w:rPr>
          <w:rFonts w:cs="Times New Roman"/>
          <w:lang w:val="fr-CA"/>
        </w:rPr>
        <w:t xml:space="preserve"> de la C.A., par. 15, 52 et 95.</w:t>
      </w:r>
    </w:p>
    <w:p w:rsidR="00CF3116" w:rsidRPr="00F52D1E" w:rsidRDefault="00CF3116" w:rsidP="00CF3116">
      <w:pPr>
        <w:pStyle w:val="ParaNoNdepar-AltN"/>
        <w:rPr>
          <w:rFonts w:cs="Times New Roman"/>
          <w:lang w:val="fr-CA"/>
        </w:rPr>
      </w:pPr>
      <w:r w:rsidRPr="00F52D1E">
        <w:rPr>
          <w:rFonts w:cs="Times New Roman"/>
          <w:lang w:val="fr-CA"/>
        </w:rPr>
        <w:t>Deuxièmement, et contrairement au libellé de l’art. 73 a.</w:t>
      </w:r>
      <w:r w:rsidRPr="00F52D1E">
        <w:rPr>
          <w:rFonts w:cs="Times New Roman"/>
          <w:i/>
          <w:lang w:val="fr-CA"/>
        </w:rPr>
        <w:t>C.p.c.</w:t>
      </w:r>
      <w:r w:rsidRPr="00F52D1E">
        <w:rPr>
          <w:rFonts w:cs="Times New Roman"/>
          <w:lang w:val="fr-CA"/>
        </w:rPr>
        <w:t xml:space="preserve"> (aujourd’hui l’art. 42(3) </w:t>
      </w:r>
      <w:r w:rsidRPr="00F52D1E">
        <w:rPr>
          <w:rFonts w:cs="Times New Roman"/>
          <w:i/>
          <w:lang w:val="fr-CA"/>
        </w:rPr>
        <w:t>C.p.c.</w:t>
      </w:r>
      <w:r w:rsidRPr="00F52D1E">
        <w:rPr>
          <w:rFonts w:cs="Times New Roman"/>
          <w:lang w:val="fr-CA"/>
        </w:rPr>
        <w:t xml:space="preserve">) qui s’appliquait auparavant en droit international privé en matière d’action réelle et d’action mixte et à celui de l’art. 50 du </w:t>
      </w:r>
      <w:r w:rsidRPr="00F52D1E">
        <w:rPr>
          <w:rFonts w:cs="Times New Roman"/>
          <w:i/>
          <w:lang w:val="fr-CA"/>
        </w:rPr>
        <w:t>Rapport du Code civil du Québec</w:t>
      </w:r>
      <w:r w:rsidRPr="00F52D1E">
        <w:rPr>
          <w:rFonts w:cs="Times New Roman"/>
          <w:lang w:val="fr-CA"/>
        </w:rPr>
        <w:t xml:space="preserve">, vol. I de l’ORCC, l’art. 3152 </w:t>
      </w:r>
      <w:r w:rsidRPr="00F52D1E">
        <w:rPr>
          <w:rFonts w:cs="Times New Roman"/>
          <w:i/>
          <w:lang w:val="fr-CA"/>
        </w:rPr>
        <w:t>C.c.Q.</w:t>
      </w:r>
      <w:r w:rsidRPr="00F52D1E">
        <w:rPr>
          <w:rFonts w:cs="Times New Roman"/>
          <w:lang w:val="fr-CA"/>
        </w:rPr>
        <w:t xml:space="preserve"> ne prévoit pas la compétence des autorités québécoises lorsque le bien en litige est situé « en tout ou en partie » au Québec. En l’espèce, le Nitassinan est certes situé en partie au Québec, mais la compétence des autorités québécoises sur cette partie du territoire ne peut pas leur conférer compétence sur celle qui n’y est pas située. L’interpréter autrement reviendrait à </w:t>
      </w:r>
      <w:r w:rsidRPr="00F52D1E">
        <w:rPr>
          <w:rFonts w:cs="Times New Roman"/>
          <w:i/>
          <w:lang w:val="fr-CA"/>
        </w:rPr>
        <w:t>récrire</w:t>
      </w:r>
      <w:r w:rsidRPr="00F52D1E">
        <w:rPr>
          <w:rFonts w:cs="Times New Roman"/>
          <w:lang w:val="fr-CA"/>
        </w:rPr>
        <w:t xml:space="preserve"> l’art. 3152 </w:t>
      </w:r>
      <w:r w:rsidRPr="00F52D1E">
        <w:rPr>
          <w:rFonts w:cs="Times New Roman"/>
          <w:i/>
          <w:lang w:val="fr-CA"/>
        </w:rPr>
        <w:t>C.c.Q.</w:t>
      </w:r>
      <w:r w:rsidRPr="00F52D1E">
        <w:rPr>
          <w:rFonts w:cs="Times New Roman"/>
          <w:lang w:val="fr-CA"/>
        </w:rPr>
        <w:t xml:space="preserve"> en y ajoutant les termes « en tout ou en partie » qui, comme nous l’avons vu, ont été délibérément retirés du texte de cet article par le législateur. Par ailleurs, notre interprétation de l’art. 3152 </w:t>
      </w:r>
      <w:r w:rsidRPr="00F52D1E">
        <w:rPr>
          <w:rFonts w:cs="Times New Roman"/>
          <w:i/>
          <w:lang w:val="fr-CA"/>
        </w:rPr>
        <w:t>C.c.Q.</w:t>
      </w:r>
      <w:r w:rsidRPr="00F52D1E">
        <w:rPr>
          <w:rFonts w:cs="Times New Roman"/>
          <w:lang w:val="fr-CA"/>
        </w:rPr>
        <w:t xml:space="preserve"> sur ce point est conforme au principe de la territorialité des lois selon lequel on « prête[ra] en principe au législateur la volonté de faire coïncider les limites spatiales de l’effet de ses lois avec les frontières du territoire soumis à sa compétence » et, « [e]n l’absence de disposition contraire, expresse ou implicite, on présumera que l’auteur d’un texte législatif entend qu’il s’applique aux personnes, aux biens, aux actes ou aux faits qui se situent à l’intérieur des limites du territoire soumis à sa compétence » : P.</w:t>
      </w:r>
      <w:r w:rsidRPr="00F52D1E">
        <w:rPr>
          <w:rFonts w:cs="Times New Roman"/>
          <w:lang w:val="fr-CA"/>
        </w:rPr>
        <w:noBreakHyphen/>
        <w:t xml:space="preserve">A. Côté, en collaboration avec S. Beaulac et M. Devinat, </w:t>
      </w:r>
      <w:r w:rsidRPr="00F52D1E">
        <w:rPr>
          <w:rFonts w:cs="Times New Roman"/>
          <w:i/>
          <w:lang w:val="fr-CA"/>
        </w:rPr>
        <w:t>Interprétation des lois</w:t>
      </w:r>
      <w:r w:rsidRPr="00F52D1E">
        <w:rPr>
          <w:rFonts w:cs="Times New Roman"/>
          <w:lang w:val="fr-CA"/>
        </w:rPr>
        <w:t xml:space="preserve"> (4</w:t>
      </w:r>
      <w:r w:rsidRPr="00F52D1E">
        <w:rPr>
          <w:rFonts w:cs="Times New Roman"/>
          <w:vertAlign w:val="superscript"/>
          <w:lang w:val="fr-CA"/>
        </w:rPr>
        <w:t>e</w:t>
      </w:r>
      <w:r w:rsidR="009E2F25">
        <w:rPr>
          <w:rFonts w:cs="Times New Roman"/>
          <w:lang w:val="fr-CA"/>
        </w:rPr>
        <w:t xml:space="preserve"> éd. 2009), p. 230.</w:t>
      </w:r>
    </w:p>
    <w:p w:rsidR="00CF3116" w:rsidRPr="00F52D1E" w:rsidRDefault="00CF3116" w:rsidP="00CF3116">
      <w:pPr>
        <w:pStyle w:val="ParaNoNdepar-AltN"/>
        <w:rPr>
          <w:rFonts w:cs="Times New Roman"/>
          <w:lang w:val="fr-CA"/>
        </w:rPr>
      </w:pPr>
      <w:r w:rsidRPr="00F52D1E">
        <w:rPr>
          <w:rFonts w:cs="Times New Roman"/>
          <w:lang w:val="fr-CA"/>
        </w:rPr>
        <w:t xml:space="preserve">Troisièmement, il ressort assez clairement du </w:t>
      </w:r>
      <w:r w:rsidRPr="00F52D1E">
        <w:rPr>
          <w:rFonts w:cs="Times New Roman"/>
          <w:i/>
          <w:lang w:val="fr-CA"/>
        </w:rPr>
        <w:t xml:space="preserve">Rapport sur le Code civil du Québec </w:t>
      </w:r>
      <w:r w:rsidRPr="00F52D1E">
        <w:rPr>
          <w:rFonts w:cs="Times New Roman"/>
          <w:lang w:val="fr-CA"/>
        </w:rPr>
        <w:t xml:space="preserve">de l’ORCC, des </w:t>
      </w:r>
      <w:r w:rsidRPr="00F52D1E">
        <w:rPr>
          <w:rFonts w:cs="Times New Roman"/>
          <w:i/>
          <w:lang w:val="fr-CA"/>
        </w:rPr>
        <w:t xml:space="preserve">Commentaires détaillés sur les dispositions du projet </w:t>
      </w:r>
      <w:r w:rsidRPr="00F52D1E">
        <w:rPr>
          <w:rFonts w:cs="Times New Roman"/>
          <w:lang w:val="fr-CA"/>
        </w:rPr>
        <w:t>[</w:t>
      </w:r>
      <w:r w:rsidRPr="00F52D1E">
        <w:rPr>
          <w:rFonts w:cs="Times New Roman"/>
          <w:i/>
          <w:lang w:val="fr-CA"/>
        </w:rPr>
        <w:t>de loi 125</w:t>
      </w:r>
      <w:r w:rsidRPr="00F52D1E">
        <w:rPr>
          <w:rFonts w:cs="Times New Roman"/>
          <w:lang w:val="fr-CA"/>
        </w:rPr>
        <w:t>]</w:t>
      </w:r>
      <w:r w:rsidRPr="00F52D1E">
        <w:rPr>
          <w:rFonts w:cs="Times New Roman"/>
          <w:i/>
          <w:lang w:val="fr-CA"/>
        </w:rPr>
        <w:t xml:space="preserve"> </w:t>
      </w:r>
      <w:r w:rsidRPr="00F52D1E">
        <w:rPr>
          <w:rFonts w:cs="Times New Roman"/>
          <w:lang w:val="fr-CA"/>
        </w:rPr>
        <w:t xml:space="preserve">concernant l’art. 3130 et des </w:t>
      </w:r>
      <w:r w:rsidRPr="00F52D1E">
        <w:rPr>
          <w:rFonts w:cs="Times New Roman"/>
          <w:i/>
          <w:lang w:val="fr-CA"/>
        </w:rPr>
        <w:t>Commentaires du ministre de la Justice</w:t>
      </w:r>
      <w:r w:rsidRPr="00F52D1E">
        <w:rPr>
          <w:rFonts w:cs="Times New Roman"/>
          <w:lang w:val="fr-CA"/>
        </w:rPr>
        <w:t xml:space="preserve"> concernant </w:t>
      </w:r>
      <w:r w:rsidRPr="00F52D1E">
        <w:rPr>
          <w:rFonts w:cs="Times New Roman"/>
          <w:lang w:val="fr-CA"/>
        </w:rPr>
        <w:lastRenderedPageBreak/>
        <w:t xml:space="preserve">l’art. 3152 </w:t>
      </w:r>
      <w:r w:rsidRPr="00F52D1E">
        <w:rPr>
          <w:rFonts w:cs="Times New Roman"/>
          <w:i/>
          <w:lang w:val="fr-CA"/>
        </w:rPr>
        <w:t>C.c.Q.</w:t>
      </w:r>
      <w:r w:rsidRPr="00F52D1E">
        <w:rPr>
          <w:rFonts w:cs="Times New Roman"/>
          <w:lang w:val="fr-CA"/>
        </w:rPr>
        <w:t xml:space="preserve"> qu’une action mixte ne peut être intentée au Québec à moins que les autorités québécoises n’aient compétence en ce qui concerne </w:t>
      </w:r>
      <w:r w:rsidRPr="00F52D1E">
        <w:rPr>
          <w:rFonts w:cs="Times New Roman"/>
          <w:i/>
          <w:lang w:val="fr-CA"/>
        </w:rPr>
        <w:t>tant</w:t>
      </w:r>
      <w:r w:rsidRPr="00F52D1E">
        <w:rPr>
          <w:rFonts w:cs="Times New Roman"/>
          <w:lang w:val="fr-CA"/>
        </w:rPr>
        <w:t xml:space="preserve"> l’aspect personnel </w:t>
      </w:r>
      <w:r w:rsidRPr="00F52D1E">
        <w:rPr>
          <w:rFonts w:cs="Times New Roman"/>
          <w:i/>
          <w:lang w:val="fr-CA"/>
        </w:rPr>
        <w:t>que</w:t>
      </w:r>
      <w:r w:rsidRPr="00F52D1E">
        <w:rPr>
          <w:rFonts w:cs="Times New Roman"/>
          <w:lang w:val="fr-CA"/>
        </w:rPr>
        <w:t xml:space="preserve"> l’aspect réel du litige. Autrement dit, pour que les autorités québécoises aient compétence sur une action mixte, il est nécessaire que le bien en litige soit situé entièrement au Québec, car autrement elles n’auraient pas compétence sur l’aspect réel du litige. La compétence sur l’aspect personnel du litige fondée, par exemple, sur le domicile du défendeur ne suffit donc pas en matière d’action mixte. La Cour d’appel du Québec a récemment retenu cette même interprétation de l’art. 3152 </w:t>
      </w:r>
      <w:r w:rsidRPr="00F52D1E">
        <w:rPr>
          <w:rFonts w:cs="Times New Roman"/>
          <w:i/>
          <w:lang w:val="fr-CA"/>
        </w:rPr>
        <w:t>C.c.Q.</w:t>
      </w:r>
      <w:r w:rsidRPr="00F52D1E">
        <w:rPr>
          <w:rFonts w:cs="Times New Roman"/>
          <w:lang w:val="fr-CA"/>
        </w:rPr>
        <w:t xml:space="preserve"> : </w:t>
      </w:r>
      <w:r w:rsidRPr="00F52D1E">
        <w:rPr>
          <w:rFonts w:cs="Times New Roman"/>
          <w:i/>
          <w:lang w:val="fr-CA"/>
        </w:rPr>
        <w:t>CGAO c. Groupe Anderson inc.</w:t>
      </w:r>
      <w:r w:rsidRPr="00F52D1E">
        <w:rPr>
          <w:rFonts w:cs="Times New Roman"/>
          <w:lang w:val="fr-CA"/>
        </w:rPr>
        <w:t>, 2017 QCCA 923, par. 10</w:t>
      </w:r>
      <w:r w:rsidRPr="00F52D1E">
        <w:rPr>
          <w:rFonts w:cs="Times New Roman"/>
          <w:lang w:val="fr-CA"/>
        </w:rPr>
        <w:noBreakHyphen/>
        <w:t xml:space="preserve">11 (CanLII). Notons par ailleurs que ni les Innus, ni le PGC, ni nos collègues ne contestent cette interprétation de l’art. 3152 </w:t>
      </w:r>
      <w:r w:rsidRPr="00F52D1E">
        <w:rPr>
          <w:rFonts w:cs="Times New Roman"/>
          <w:i/>
          <w:lang w:val="fr-CA"/>
        </w:rPr>
        <w:t>C.c.Q.</w:t>
      </w:r>
    </w:p>
    <w:p w:rsidR="00CF3116" w:rsidRPr="00F52D1E" w:rsidRDefault="00CF3116" w:rsidP="00CF3116">
      <w:pPr>
        <w:pStyle w:val="ParaNoNdepar-AltN"/>
        <w:rPr>
          <w:rFonts w:cs="Times New Roman"/>
          <w:lang w:val="fr-CA"/>
        </w:rPr>
      </w:pPr>
      <w:r w:rsidRPr="00F52D1E">
        <w:rPr>
          <w:rFonts w:cs="Times New Roman"/>
          <w:lang w:val="fr-CA"/>
        </w:rPr>
        <w:t xml:space="preserve">À cet égard, une conclusion s’impose : le </w:t>
      </w:r>
      <w:r w:rsidRPr="00F52D1E">
        <w:rPr>
          <w:rFonts w:cs="Times New Roman"/>
          <w:i/>
          <w:lang w:val="fr-CA"/>
        </w:rPr>
        <w:t>C.c.Q.</w:t>
      </w:r>
      <w:r w:rsidRPr="00F52D1E">
        <w:rPr>
          <w:rFonts w:cs="Times New Roman"/>
          <w:lang w:val="fr-CA"/>
        </w:rPr>
        <w:t xml:space="preserve"> s’écarte du droit tel qu’il existait avant son entrée en vigueur. L’article 73 a.</w:t>
      </w:r>
      <w:r w:rsidRPr="00F52D1E">
        <w:rPr>
          <w:rFonts w:cs="Times New Roman"/>
          <w:i/>
          <w:lang w:val="fr-CA"/>
        </w:rPr>
        <w:t>C.p.c.</w:t>
      </w:r>
      <w:r w:rsidRPr="00F52D1E">
        <w:rPr>
          <w:rFonts w:cs="Times New Roman"/>
          <w:lang w:val="fr-CA"/>
        </w:rPr>
        <w:t xml:space="preserve"> prévoyait qu’une action mixte pouvait être portée « </w:t>
      </w:r>
      <w:r w:rsidRPr="00F52D1E">
        <w:rPr>
          <w:rFonts w:cs="Times New Roman"/>
          <w:u w:val="single"/>
          <w:lang w:val="fr-CA"/>
        </w:rPr>
        <w:t>soit</w:t>
      </w:r>
      <w:r w:rsidRPr="00F52D1E">
        <w:rPr>
          <w:rFonts w:cs="Times New Roman"/>
          <w:lang w:val="fr-CA"/>
        </w:rPr>
        <w:t xml:space="preserve"> devant le tribunal du domicile du défendeur, </w:t>
      </w:r>
      <w:r w:rsidRPr="00F52D1E">
        <w:rPr>
          <w:rFonts w:cs="Times New Roman"/>
          <w:u w:val="single"/>
          <w:lang w:val="fr-CA"/>
        </w:rPr>
        <w:t>soit</w:t>
      </w:r>
      <w:r w:rsidRPr="00F52D1E">
        <w:rPr>
          <w:rFonts w:cs="Times New Roman"/>
          <w:lang w:val="fr-CA"/>
        </w:rPr>
        <w:t xml:space="preserve"> devant celui du district où [était] situé, en tout ou en partie, le bien en litige ». Par ailleurs, la jurisprudence et la doctrine reconnaissaient la compétence des autorités québécoises sur le litige lorsque l’action pouvait être qualifiée de personnelle ou de mixte et qu’un chef de compétence autre que la situation du bien au Québec (par exemple, le domicile du défendeur) était établi : Glenn, p. 757</w:t>
      </w:r>
      <w:r w:rsidRPr="00F52D1E">
        <w:rPr>
          <w:rFonts w:cs="Times New Roman"/>
          <w:lang w:val="fr-CA"/>
        </w:rPr>
        <w:noBreakHyphen/>
        <w:t xml:space="preserve">758; </w:t>
      </w:r>
      <w:r w:rsidRPr="00F52D1E">
        <w:rPr>
          <w:rFonts w:cs="Times New Roman"/>
          <w:i/>
          <w:lang w:val="fr-CA"/>
        </w:rPr>
        <w:t>Babineau c. Railway Centre Park Company Limited</w:t>
      </w:r>
      <w:r w:rsidRPr="00F52D1E">
        <w:rPr>
          <w:rFonts w:cs="Times New Roman"/>
          <w:lang w:val="fr-CA"/>
        </w:rPr>
        <w:t xml:space="preserve"> (1914), 47 C.S. 161; </w:t>
      </w:r>
      <w:r w:rsidRPr="00F52D1E">
        <w:rPr>
          <w:rFonts w:cs="Times New Roman"/>
          <w:i/>
          <w:lang w:val="fr-CA"/>
        </w:rPr>
        <w:t>Lamothe c. Hébert</w:t>
      </w:r>
      <w:r w:rsidRPr="00F52D1E">
        <w:rPr>
          <w:rFonts w:cs="Times New Roman"/>
          <w:lang w:val="fr-CA"/>
        </w:rPr>
        <w:t xml:space="preserve"> (1916), 24 R.L. 182 (C.S.). La doctrine contemporaine — qui continue en cela de s’appuyer sur la jurisprudence antérieure à l’entrée en vigueur du </w:t>
      </w:r>
      <w:r w:rsidRPr="00F52D1E">
        <w:rPr>
          <w:rFonts w:cs="Times New Roman"/>
          <w:i/>
          <w:lang w:val="fr-CA"/>
        </w:rPr>
        <w:t>C.c.Q.</w:t>
      </w:r>
      <w:r w:rsidRPr="00F52D1E">
        <w:rPr>
          <w:rFonts w:cs="Times New Roman"/>
          <w:lang w:val="fr-CA"/>
        </w:rPr>
        <w:t xml:space="preserve"> — n’a pas toujours su relever ce changement dans l’état du droit effectué lors de l’entrée en vigueur du </w:t>
      </w:r>
      <w:r w:rsidRPr="00F52D1E">
        <w:rPr>
          <w:rFonts w:cs="Times New Roman"/>
          <w:i/>
          <w:lang w:val="fr-CA"/>
        </w:rPr>
        <w:t>C.c.Q.</w:t>
      </w:r>
      <w:r w:rsidRPr="00F52D1E">
        <w:rPr>
          <w:rFonts w:cs="Times New Roman"/>
          <w:lang w:val="fr-CA"/>
        </w:rPr>
        <w:t> : voir, par exemple, Goldst</w:t>
      </w:r>
      <w:r w:rsidR="009E2F25">
        <w:rPr>
          <w:rFonts w:cs="Times New Roman"/>
          <w:lang w:val="fr-CA"/>
        </w:rPr>
        <w:t>ein et Groffier (2003), n° 311.</w:t>
      </w:r>
    </w:p>
    <w:p w:rsidR="00CF3116" w:rsidRPr="00F52D1E" w:rsidRDefault="00CF3116" w:rsidP="00CF3116">
      <w:pPr>
        <w:pStyle w:val="ParaNoNdepar-AltN"/>
        <w:rPr>
          <w:rFonts w:cs="Times New Roman"/>
          <w:lang w:val="fr-CA"/>
        </w:rPr>
      </w:pPr>
      <w:r w:rsidRPr="00F52D1E">
        <w:rPr>
          <w:rFonts w:cs="Times New Roman"/>
          <w:lang w:val="fr-CA"/>
        </w:rPr>
        <w:lastRenderedPageBreak/>
        <w:t>En l’espèce, le juge de la Cour supérieure a expressément reconnu — conformément à l’admission des Innus faite devant lui (par. 61) — que le titre ancestral et les autres droits ancestraux ou issus de traités « comporte[nt] plusieurs éléments d’un droit réel » (par. 62</w:t>
      </w:r>
      <w:r w:rsidRPr="00F52D1E">
        <w:rPr>
          <w:rFonts w:cs="Times New Roman"/>
          <w:lang w:val="fr-CA"/>
        </w:rPr>
        <w:noBreakHyphen/>
        <w:t>64). Le juge a néanmoins rejeté la qualification d’« action réelle » et a préféré celle d’« action mixte », puisque, selon lui, le volet réel de l’action des Innus visant la reconnaissance et la protection d’un titre ancestral et d’autres droits ancestraux ou issus de traités était « ancillaire » au volet personnel de l’action visant la condamnation des défenderesses IOC et QNS&amp;L au paiement de dommages</w:t>
      </w:r>
      <w:r w:rsidRPr="00F52D1E">
        <w:rPr>
          <w:rFonts w:cs="Times New Roman"/>
          <w:lang w:val="fr-CA"/>
        </w:rPr>
        <w:noBreakHyphen/>
        <w:t>intérêts : par. 66</w:t>
      </w:r>
      <w:r w:rsidRPr="00F52D1E">
        <w:rPr>
          <w:rFonts w:cs="Times New Roman"/>
          <w:lang w:val="fr-CA"/>
        </w:rPr>
        <w:noBreakHyphen/>
        <w:t>68 et 77</w:t>
      </w:r>
      <w:r w:rsidRPr="00F52D1E">
        <w:rPr>
          <w:rFonts w:cs="Times New Roman"/>
          <w:lang w:val="fr-CA"/>
        </w:rPr>
        <w:noBreakHyphen/>
        <w:t>79. Comme les défenderesses sont domiciliées au Québec, le juge en a conclu que les autorités québécoises étaient compétentes pour connaître d’une telle « acti</w:t>
      </w:r>
      <w:r w:rsidR="009E2F25">
        <w:rPr>
          <w:rFonts w:cs="Times New Roman"/>
          <w:lang w:val="fr-CA"/>
        </w:rPr>
        <w:t>on mixte » : par. 82 et 93</w:t>
      </w:r>
      <w:r w:rsidR="009E2F25">
        <w:rPr>
          <w:rFonts w:cs="Times New Roman"/>
          <w:lang w:val="fr-CA"/>
        </w:rPr>
        <w:noBreakHyphen/>
        <w:t>102.</w:t>
      </w:r>
    </w:p>
    <w:p w:rsidR="00CF3116" w:rsidRPr="00F52D1E" w:rsidRDefault="00CF3116" w:rsidP="00CF3116">
      <w:pPr>
        <w:pStyle w:val="ParaNoNdepar-AltN"/>
        <w:rPr>
          <w:rFonts w:cs="Times New Roman"/>
          <w:lang w:val="fr-CA"/>
        </w:rPr>
      </w:pPr>
      <w:r w:rsidRPr="00F52D1E">
        <w:rPr>
          <w:rFonts w:cs="Times New Roman"/>
          <w:lang w:val="fr-CA"/>
        </w:rPr>
        <w:t xml:space="preserve">Or, c’est en matière d’action </w:t>
      </w:r>
      <w:r w:rsidRPr="00F52D1E">
        <w:rPr>
          <w:rFonts w:cs="Times New Roman"/>
          <w:i/>
          <w:lang w:val="fr-CA"/>
        </w:rPr>
        <w:t>personnelle</w:t>
      </w:r>
      <w:r w:rsidRPr="00F52D1E">
        <w:rPr>
          <w:rFonts w:cs="Times New Roman"/>
          <w:lang w:val="fr-CA"/>
        </w:rPr>
        <w:t xml:space="preserve"> — et non d’action </w:t>
      </w:r>
      <w:r w:rsidRPr="00F52D1E">
        <w:rPr>
          <w:rFonts w:cs="Times New Roman"/>
          <w:i/>
          <w:lang w:val="fr-CA"/>
        </w:rPr>
        <w:t>mixte</w:t>
      </w:r>
      <w:r w:rsidRPr="00F52D1E">
        <w:rPr>
          <w:rFonts w:cs="Times New Roman"/>
          <w:lang w:val="fr-CA"/>
        </w:rPr>
        <w:t xml:space="preserve"> — que les autorités québécoises sont compétentes lorsque le défendeur a son domicile au Québec : art. 3148 al. 1(1) </w:t>
      </w:r>
      <w:r w:rsidRPr="00F52D1E">
        <w:rPr>
          <w:rFonts w:cs="Times New Roman"/>
          <w:i/>
          <w:lang w:val="fr-CA"/>
        </w:rPr>
        <w:t>C.c.Q.</w:t>
      </w:r>
      <w:r w:rsidRPr="00F52D1E">
        <w:rPr>
          <w:rFonts w:cs="Times New Roman"/>
          <w:lang w:val="fr-CA"/>
        </w:rPr>
        <w:t xml:space="preserve"> En matière d’action mixte, le domicile du défendeur ne suffit pas; il faut </w:t>
      </w:r>
      <w:r w:rsidRPr="00F52D1E">
        <w:rPr>
          <w:rFonts w:cs="Times New Roman"/>
          <w:i/>
          <w:lang w:val="fr-CA"/>
        </w:rPr>
        <w:t>de plus</w:t>
      </w:r>
      <w:r w:rsidRPr="00F52D1E">
        <w:rPr>
          <w:rFonts w:cs="Times New Roman"/>
          <w:lang w:val="fr-CA"/>
        </w:rPr>
        <w:t xml:space="preserve"> que le bien en litige soit situé </w:t>
      </w:r>
      <w:r w:rsidRPr="00F52D1E">
        <w:rPr>
          <w:rFonts w:cs="Times New Roman"/>
          <w:i/>
          <w:lang w:val="fr-CA"/>
        </w:rPr>
        <w:t>au Québec</w:t>
      </w:r>
      <w:r w:rsidRPr="00F52D1E">
        <w:rPr>
          <w:rFonts w:cs="Times New Roman"/>
          <w:lang w:val="fr-CA"/>
        </w:rPr>
        <w:t xml:space="preserve">, comme l’exige l’art. 3152 </w:t>
      </w:r>
      <w:r w:rsidRPr="00F52D1E">
        <w:rPr>
          <w:rFonts w:cs="Times New Roman"/>
          <w:i/>
          <w:lang w:val="fr-CA"/>
        </w:rPr>
        <w:t>C.c.Q.</w:t>
      </w:r>
    </w:p>
    <w:p w:rsidR="00CF3116" w:rsidRPr="00F52D1E" w:rsidRDefault="00CF3116" w:rsidP="00CF3116">
      <w:pPr>
        <w:pStyle w:val="ParaNoNdepar-AltN"/>
        <w:rPr>
          <w:rFonts w:cs="Times New Roman"/>
          <w:lang w:val="fr-CA"/>
        </w:rPr>
      </w:pPr>
      <w:r w:rsidRPr="00F52D1E">
        <w:rPr>
          <w:rFonts w:cs="Times New Roman"/>
          <w:lang w:val="fr-CA"/>
        </w:rPr>
        <w:t xml:space="preserve">Nos collègues sont d’avis que l’action des Innus est une action mixte « non classique » comprenant un volet personnel ainsi qu’un volet </w:t>
      </w:r>
      <w:r w:rsidRPr="00F52D1E">
        <w:rPr>
          <w:rFonts w:cs="Times New Roman"/>
          <w:i/>
          <w:lang w:val="fr-CA"/>
        </w:rPr>
        <w:t>sui generis</w:t>
      </w:r>
      <w:r w:rsidRPr="00F52D1E">
        <w:rPr>
          <w:rFonts w:cs="Times New Roman"/>
          <w:lang w:val="fr-CA"/>
        </w:rPr>
        <w:t> : par. </w:t>
      </w:r>
      <w:proofErr w:type="gramStart"/>
      <w:r w:rsidRPr="00F52D1E">
        <w:rPr>
          <w:rFonts w:cs="Times New Roman"/>
          <w:lang w:val="fr-CA"/>
        </w:rPr>
        <w:t>56</w:t>
      </w:r>
      <w:proofErr w:type="gramEnd"/>
      <w:r w:rsidRPr="00F52D1E">
        <w:rPr>
          <w:rFonts w:cs="Times New Roman"/>
          <w:lang w:val="fr-CA"/>
        </w:rPr>
        <w:t xml:space="preserve">. S’autorisant de l’absence de dispositions visant spécifiquement les droits </w:t>
      </w:r>
      <w:r w:rsidRPr="00F52D1E">
        <w:rPr>
          <w:rFonts w:cs="Times New Roman"/>
          <w:i/>
          <w:lang w:val="fr-CA"/>
        </w:rPr>
        <w:t>sui generis</w:t>
      </w:r>
      <w:r w:rsidRPr="00F52D1E">
        <w:rPr>
          <w:rFonts w:cs="Times New Roman"/>
          <w:lang w:val="fr-CA"/>
        </w:rPr>
        <w:t xml:space="preserve">, ils concluent que l’art. 3134 </w:t>
      </w:r>
      <w:r w:rsidRPr="00F52D1E">
        <w:rPr>
          <w:rFonts w:cs="Times New Roman"/>
          <w:i/>
          <w:lang w:val="fr-CA"/>
        </w:rPr>
        <w:t xml:space="preserve">C.c.Q. </w:t>
      </w:r>
      <w:r w:rsidRPr="00F52D1E">
        <w:rPr>
          <w:rFonts w:cs="Times New Roman"/>
          <w:lang w:val="fr-CA"/>
        </w:rPr>
        <w:t xml:space="preserve">trouve application et que, puisque les entreprises poursuivies ont leur domicile à Montréal, les autorités québécoises ont compétence tant sur le volet personnel que sur le volet </w:t>
      </w:r>
      <w:r w:rsidRPr="00F52D1E">
        <w:rPr>
          <w:rFonts w:cs="Times New Roman"/>
          <w:i/>
          <w:lang w:val="fr-CA"/>
        </w:rPr>
        <w:t>sui generis</w:t>
      </w:r>
      <w:r w:rsidR="009E2F25">
        <w:rPr>
          <w:rFonts w:cs="Times New Roman"/>
          <w:lang w:val="fr-CA"/>
        </w:rPr>
        <w:t xml:space="preserve"> de l’action.</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Les droits protégés par l’art. 35 de la </w:t>
      </w:r>
      <w:r w:rsidRPr="00F52D1E">
        <w:rPr>
          <w:rFonts w:cs="Times New Roman"/>
          <w:i/>
          <w:lang w:val="fr-CA"/>
        </w:rPr>
        <w:t>Loi constitutionnelle de 1982</w:t>
      </w:r>
      <w:r w:rsidRPr="00F52D1E">
        <w:rPr>
          <w:rFonts w:cs="Times New Roman"/>
          <w:lang w:val="fr-CA"/>
        </w:rPr>
        <w:t>, et notamment le titre ancestral qui accorde « le droit d’utiliser et d’occuper de façon exclusive les terres détenues en vertu de ce titre pour diverses fins » (</w:t>
      </w:r>
      <w:r w:rsidRPr="00F52D1E">
        <w:rPr>
          <w:rFonts w:cs="Times New Roman"/>
          <w:i/>
          <w:lang w:val="fr-CA"/>
        </w:rPr>
        <w:t>Delgamuukw</w:t>
      </w:r>
      <w:r w:rsidRPr="00F52D1E">
        <w:rPr>
          <w:rFonts w:cs="Times New Roman"/>
          <w:lang w:val="fr-CA"/>
        </w:rPr>
        <w:t>, par. 117) sont un fardeau ou une charge qui s’impose en premier lieu sur le titre sous</w:t>
      </w:r>
      <w:r w:rsidRPr="00F52D1E">
        <w:rPr>
          <w:rFonts w:cs="Times New Roman"/>
          <w:lang w:val="fr-CA"/>
        </w:rPr>
        <w:noBreakHyphen/>
        <w:t>jacent de la Couronne (</w:t>
      </w:r>
      <w:r w:rsidRPr="00F52D1E">
        <w:rPr>
          <w:rFonts w:cs="Times New Roman"/>
          <w:i/>
          <w:lang w:val="fr-CA"/>
        </w:rPr>
        <w:t>Nation Tsilhqot’in</w:t>
      </w:r>
      <w:r w:rsidRPr="00F52D1E">
        <w:rPr>
          <w:rFonts w:cs="Times New Roman"/>
          <w:lang w:val="fr-CA"/>
        </w:rPr>
        <w:t xml:space="preserve">, par. 69). Comme notre Cour le rappelait, « [l]es caractéristiques du titre ancestral découlent de la relation particulière </w:t>
      </w:r>
      <w:r w:rsidRPr="00F52D1E">
        <w:rPr>
          <w:rFonts w:cs="Times New Roman"/>
          <w:u w:val="single"/>
          <w:lang w:val="fr-CA"/>
        </w:rPr>
        <w:t>entre la Couronne et le groupe autochtone</w:t>
      </w:r>
      <w:r w:rsidRPr="00F52D1E">
        <w:rPr>
          <w:rFonts w:cs="Times New Roman"/>
          <w:lang w:val="fr-CA"/>
        </w:rPr>
        <w:t xml:space="preserve"> en question. </w:t>
      </w:r>
      <w:r w:rsidRPr="00F52D1E">
        <w:rPr>
          <w:rFonts w:cs="Times New Roman"/>
          <w:u w:val="single"/>
          <w:lang w:val="fr-CA"/>
        </w:rPr>
        <w:t>C’est cette relation qui rend le titre ancestral </w:t>
      </w:r>
      <w:r w:rsidRPr="00F52D1E">
        <w:rPr>
          <w:rFonts w:cs="Times New Roman"/>
          <w:i/>
          <w:iCs/>
          <w:u w:val="single"/>
          <w:lang w:val="fr-CA"/>
        </w:rPr>
        <w:t>sui generis</w:t>
      </w:r>
      <w:r w:rsidRPr="00F52D1E">
        <w:rPr>
          <w:rFonts w:cs="Times New Roman"/>
          <w:lang w:val="fr-CA"/>
        </w:rPr>
        <w:t>,</w:t>
      </w:r>
      <w:r w:rsidRPr="00F52D1E">
        <w:rPr>
          <w:rFonts w:cs="Times New Roman"/>
          <w:i/>
          <w:iCs/>
          <w:lang w:val="fr-CA"/>
        </w:rPr>
        <w:t> </w:t>
      </w:r>
      <w:r w:rsidRPr="00F52D1E">
        <w:rPr>
          <w:rFonts w:cs="Times New Roman"/>
          <w:lang w:val="fr-CA"/>
        </w:rPr>
        <w:t xml:space="preserve">ou unique » : </w:t>
      </w:r>
      <w:r w:rsidRPr="00F52D1E">
        <w:rPr>
          <w:rFonts w:cs="Times New Roman"/>
          <w:i/>
          <w:lang w:val="fr-CA"/>
        </w:rPr>
        <w:t>Nation Tsilhqot’in</w:t>
      </w:r>
      <w:r w:rsidRPr="00F52D1E">
        <w:rPr>
          <w:rFonts w:cs="Times New Roman"/>
          <w:lang w:val="fr-CA"/>
        </w:rPr>
        <w:t>, par. 72 (nous soulignons). La Couronne est la principale défenderesse à l’action en reconnaissance d’un titre ancestral, comme nous l’étayerons plus loin.</w:t>
      </w:r>
    </w:p>
    <w:p w:rsidR="00CF3116" w:rsidRPr="00F52D1E" w:rsidRDefault="00CF3116" w:rsidP="00CF3116">
      <w:pPr>
        <w:pStyle w:val="ParaNoNdepar-AltN"/>
        <w:rPr>
          <w:rFonts w:cs="Times New Roman"/>
          <w:lang w:val="fr-CA"/>
        </w:rPr>
      </w:pPr>
      <w:r w:rsidRPr="00F52D1E">
        <w:rPr>
          <w:rFonts w:cs="Times New Roman"/>
          <w:lang w:val="fr-CA"/>
        </w:rPr>
        <w:t xml:space="preserve">Ainsi, la conclusion de nos collègues (par. 58) voulant que les défenderesses à l’action en reconnaissance de droits ancestraux soient les entreprises privées plutôt que la Couronne s’avère grandement problématique. Nous insistons pour souligner que, même suivant l’interprétation que font nos collègues du droit international privé québécois, leur conclusion voulant qu’un tiers, plutôt que la Couronne, soit le défendeur à l’action en reconnaissance de titre est une conclusion qui dénature le caractère </w:t>
      </w:r>
      <w:r w:rsidRPr="00F52D1E">
        <w:rPr>
          <w:rFonts w:cs="Times New Roman"/>
          <w:i/>
          <w:lang w:val="fr-CA"/>
        </w:rPr>
        <w:t>sui generis</w:t>
      </w:r>
      <w:r w:rsidRPr="00F52D1E">
        <w:rPr>
          <w:rFonts w:cs="Times New Roman"/>
          <w:lang w:val="fr-CA"/>
        </w:rPr>
        <w:t xml:space="preserve"> des droits ancestraux.</w:t>
      </w:r>
    </w:p>
    <w:p w:rsidR="00CF3116" w:rsidRPr="00F52D1E" w:rsidRDefault="00CF3116" w:rsidP="00CF3116">
      <w:pPr>
        <w:pStyle w:val="Title3LevelTitre3Niveau"/>
        <w:tabs>
          <w:tab w:val="clear" w:pos="1152"/>
        </w:tabs>
        <w:ind w:left="1530"/>
        <w:rPr>
          <w:rFonts w:cs="Times New Roman"/>
          <w:lang w:val="fr-CA"/>
        </w:rPr>
      </w:pPr>
      <w:bookmarkStart w:id="90" w:name="_Toc11660755"/>
      <w:bookmarkStart w:id="91" w:name="_Toc29195617"/>
      <w:bookmarkStart w:id="92" w:name="_Toc31207771"/>
      <w:bookmarkStart w:id="93" w:name="_Toc32309433"/>
      <w:bookmarkStart w:id="94" w:name="_Toc32852588"/>
      <w:bookmarkStart w:id="95" w:name="_Toc33007302"/>
      <w:r w:rsidRPr="00F52D1E">
        <w:rPr>
          <w:rFonts w:cs="Times New Roman"/>
          <w:lang w:val="fr-CA"/>
        </w:rPr>
        <w:t>Examen de la compétence pour chaque demande en particulier</w:t>
      </w:r>
      <w:bookmarkEnd w:id="90"/>
      <w:bookmarkEnd w:id="91"/>
      <w:bookmarkEnd w:id="92"/>
      <w:bookmarkEnd w:id="93"/>
      <w:bookmarkEnd w:id="94"/>
      <w:bookmarkEnd w:id="95"/>
    </w:p>
    <w:p w:rsidR="00CF3116" w:rsidRPr="00F52D1E" w:rsidRDefault="00CF3116" w:rsidP="00CF3116">
      <w:pPr>
        <w:pStyle w:val="ParaNoNdepar-AltN"/>
        <w:rPr>
          <w:rFonts w:cs="Times New Roman"/>
          <w:lang w:val="fr-CA"/>
        </w:rPr>
      </w:pPr>
      <w:r w:rsidRPr="00F52D1E">
        <w:rPr>
          <w:rFonts w:cs="Times New Roman"/>
          <w:lang w:val="fr-CA"/>
        </w:rPr>
        <w:t xml:space="preserve">Il existe en droit international privé québécois un principe selon lequel « la compétence du tribunal québécois se détermine pour chaque demande en particulier » : </w:t>
      </w:r>
      <w:r w:rsidRPr="00F52D1E">
        <w:rPr>
          <w:rFonts w:cs="Times New Roman"/>
          <w:i/>
          <w:lang w:val="fr-CA"/>
        </w:rPr>
        <w:t>GreCon</w:t>
      </w:r>
      <w:r w:rsidRPr="00F52D1E">
        <w:rPr>
          <w:rFonts w:cs="Times New Roman"/>
          <w:lang w:val="fr-CA"/>
        </w:rPr>
        <w:t xml:space="preserve">, par. 29. C’est l’exercice auquel nous allons maintenant nous livrer, et ce, afin de décider si, comme le soumet le PGTNL, l’action des Innus comporte effectivement des demandes qui seraient de nature réelle ou mixte du fait qu’elles viseraient à faire </w:t>
      </w:r>
      <w:r w:rsidRPr="00F52D1E">
        <w:rPr>
          <w:rFonts w:cs="Times New Roman"/>
          <w:lang w:val="fr-CA"/>
        </w:rPr>
        <w:lastRenderedPageBreak/>
        <w:t>reconnaître ou à protéger un titre ancestral ou d’autres droits ancestraux ou issus de traités, lesquels sont des droits réels aux fins du droit international privé. Dans l’affirmative, les autorités québécoises sont incompétentes pour y faire droit, si elles portent sur la partie du Nitassinan qui est si</w:t>
      </w:r>
      <w:r w:rsidR="009E2F25">
        <w:rPr>
          <w:rFonts w:cs="Times New Roman"/>
          <w:lang w:val="fr-CA"/>
        </w:rPr>
        <w:t>tuée à Terre</w:t>
      </w:r>
      <w:r w:rsidR="009E2F25">
        <w:rPr>
          <w:rFonts w:cs="Times New Roman"/>
          <w:lang w:val="fr-CA"/>
        </w:rPr>
        <w:noBreakHyphen/>
        <w:t>Neuve</w:t>
      </w:r>
      <w:r w:rsidR="009E2F25">
        <w:rPr>
          <w:rFonts w:cs="Times New Roman"/>
          <w:lang w:val="fr-CA"/>
        </w:rPr>
        <w:noBreakHyphen/>
        <w:t>et</w:t>
      </w:r>
      <w:r w:rsidR="009E2F25">
        <w:rPr>
          <w:rFonts w:cs="Times New Roman"/>
          <w:lang w:val="fr-CA"/>
        </w:rPr>
        <w:noBreakHyphen/>
        <w:t>Labrador.</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Demande de « remèdes déclara</w:t>
      </w:r>
      <w:r w:rsidR="009E2F25">
        <w:rPr>
          <w:rFonts w:cs="Times New Roman"/>
          <w:lang w:val="fr-CA"/>
        </w:rPr>
        <w:t>toires »</w:t>
      </w:r>
    </w:p>
    <w:p w:rsidR="00CF3116" w:rsidRPr="00F52D1E" w:rsidRDefault="00CF3116" w:rsidP="00CF3116">
      <w:pPr>
        <w:pStyle w:val="ParaNoNdepar-AltN"/>
        <w:rPr>
          <w:rFonts w:cs="Times New Roman"/>
          <w:lang w:val="fr-CA"/>
        </w:rPr>
      </w:pPr>
      <w:r w:rsidRPr="00F52D1E">
        <w:rPr>
          <w:rFonts w:cs="Times New Roman"/>
          <w:lang w:val="fr-CA"/>
        </w:rPr>
        <w:t xml:space="preserve">Dans leur requête introductive d’instance, les Innus demandent divers « remèdes déclaratoires » : </w:t>
      </w:r>
      <w:proofErr w:type="gramStart"/>
      <w:r w:rsidRPr="00F52D1E">
        <w:rPr>
          <w:rFonts w:cs="Times New Roman"/>
          <w:lang w:val="fr-CA"/>
        </w:rPr>
        <w:t>d.a.,</w:t>
      </w:r>
      <w:proofErr w:type="gramEnd"/>
      <w:r w:rsidRPr="00F52D1E">
        <w:rPr>
          <w:rFonts w:cs="Times New Roman"/>
          <w:lang w:val="fr-CA"/>
        </w:rPr>
        <w:t xml:space="preserve"> vol. II, p. 30. Les conclusions pertinentes de la requête introductive d’</w:t>
      </w:r>
      <w:r w:rsidR="009E2F25">
        <w:rPr>
          <w:rFonts w:cs="Times New Roman"/>
          <w:lang w:val="fr-CA"/>
        </w:rPr>
        <w:t>instance se lisent comme suit :</w:t>
      </w:r>
    </w:p>
    <w:p w:rsidR="00CF3116" w:rsidRPr="00F52D1E" w:rsidRDefault="00CF3116" w:rsidP="00CF3116">
      <w:pPr>
        <w:pStyle w:val="Citation-AltC"/>
        <w:rPr>
          <w:lang w:val="fr-CA"/>
        </w:rPr>
      </w:pPr>
      <w:r w:rsidRPr="00F52D1E">
        <w:rPr>
          <w:b/>
          <w:lang w:val="fr-CA"/>
        </w:rPr>
        <w:t>DÉCLARER</w:t>
      </w:r>
      <w:r w:rsidRPr="00F52D1E">
        <w:rPr>
          <w:lang w:val="fr-CA"/>
        </w:rPr>
        <w:t xml:space="preserve"> que les demandeurs les Innus de UM</w:t>
      </w:r>
      <w:r w:rsidRPr="00F52D1E">
        <w:rPr>
          <w:lang w:val="fr-CA"/>
        </w:rPr>
        <w:noBreakHyphen/>
        <w:t>MLJ ont un titre indien non éteint sur les parties du Nitassinan affectées par le mégaprojet d’IOC (y compris chacune de ses composantes) et notamment par les installations, opérations et activités d’IOC et de QNS&amp;L, lesquels sont décrits aux présentes, et en particulier par les installations et activités industrielles e</w:t>
      </w:r>
      <w:r w:rsidR="009E2F25">
        <w:rPr>
          <w:lang w:val="fr-CA"/>
        </w:rPr>
        <w:t>t portuaires d’IOC et de QNS&amp;L;</w:t>
      </w:r>
    </w:p>
    <w:p w:rsidR="00CF3116" w:rsidRPr="00F52D1E" w:rsidRDefault="00CF3116" w:rsidP="00CF3116">
      <w:pPr>
        <w:pStyle w:val="Citation-AltC"/>
        <w:rPr>
          <w:lang w:val="fr-CA"/>
        </w:rPr>
      </w:pPr>
    </w:p>
    <w:p w:rsidR="00CF3116" w:rsidRPr="00F52D1E" w:rsidRDefault="00CF3116" w:rsidP="00CF3116">
      <w:pPr>
        <w:pStyle w:val="Citation-AltC"/>
        <w:rPr>
          <w:lang w:val="fr-CA"/>
        </w:rPr>
      </w:pPr>
      <w:r w:rsidRPr="00F52D1E">
        <w:rPr>
          <w:b/>
          <w:lang w:val="fr-CA"/>
        </w:rPr>
        <w:t>DÉCLARER</w:t>
      </w:r>
      <w:r w:rsidRPr="00F52D1E">
        <w:rPr>
          <w:lang w:val="fr-CA"/>
        </w:rPr>
        <w:t xml:space="preserve"> que les demandeurs les Innus de UM</w:t>
      </w:r>
      <w:r w:rsidRPr="00F52D1E">
        <w:rPr>
          <w:lang w:val="fr-CA"/>
        </w:rPr>
        <w:noBreakHyphen/>
        <w:t>MLJ ont des droits ancestraux et issus de traités existants sur tout le Nita</w:t>
      </w:r>
      <w:r w:rsidR="009E2F25">
        <w:rPr>
          <w:lang w:val="fr-CA"/>
        </w:rPr>
        <w:t>ssinan, y compris les droits :</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a)</w:t>
      </w:r>
      <w:r w:rsidR="00CF3116" w:rsidRPr="00F52D1E">
        <w:rPr>
          <w:lang w:val="fr-CA"/>
        </w:rPr>
        <w:tab/>
        <w:t>sur et quant à toutes les ressources naturelles, y compris le minerai de fer, dans le Nitassinan et notamment dans la région des installations minières, ferroviaires e</w:t>
      </w:r>
      <w:r w:rsidR="009E2F25">
        <w:rPr>
          <w:lang w:val="fr-CA"/>
        </w:rPr>
        <w:t>t portuaires des défenderesses;</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b)</w:t>
      </w:r>
      <w:r w:rsidR="00CF3116" w:rsidRPr="00F52D1E">
        <w:rPr>
          <w:lang w:val="fr-CA"/>
        </w:rPr>
        <w:tab/>
        <w:t>de chasser, de piéger, de pêcher et de cueillir pour fins alimentaires, socia</w:t>
      </w:r>
      <w:r w:rsidR="009E2F25">
        <w:rPr>
          <w:lang w:val="fr-CA"/>
        </w:rPr>
        <w:t>les, rituelles et commerciales;</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c)</w:t>
      </w:r>
      <w:r w:rsidR="00CF3116" w:rsidRPr="00F52D1E">
        <w:rPr>
          <w:lang w:val="fr-CA"/>
        </w:rPr>
        <w:tab/>
        <w:t>d’exercer une ju</w:t>
      </w:r>
      <w:r w:rsidR="009E2F25">
        <w:rPr>
          <w:lang w:val="fr-CA"/>
        </w:rPr>
        <w:t>ridiction sur ledit Nitassinan;</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d)</w:t>
      </w:r>
      <w:r w:rsidR="00CF3116" w:rsidRPr="00F52D1E">
        <w:rPr>
          <w:lang w:val="fr-CA"/>
        </w:rPr>
        <w:tab/>
        <w:t>d’utiliser les cours d’eau et les plans d’eau, y compris les mers, fleuve, rivières, lacs</w:t>
      </w:r>
      <w:r w:rsidR="009E2F25">
        <w:rPr>
          <w:lang w:val="fr-CA"/>
        </w:rPr>
        <w:t xml:space="preserve"> et étangs;</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e)</w:t>
      </w:r>
      <w:r w:rsidR="00CF3116" w:rsidRPr="00F52D1E">
        <w:rPr>
          <w:lang w:val="fr-CA"/>
        </w:rPr>
        <w:tab/>
        <w:t>d’ériger et d’utiliser des campements, des gîtes,</w:t>
      </w:r>
      <w:r w:rsidR="009E2F25">
        <w:rPr>
          <w:lang w:val="fr-CA"/>
        </w:rPr>
        <w:t xml:space="preserve"> des caches et des habitations;</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f)</w:t>
      </w:r>
      <w:r w:rsidR="00CF3116" w:rsidRPr="00F52D1E">
        <w:rPr>
          <w:lang w:val="fr-CA"/>
        </w:rPr>
        <w:tab/>
        <w:t>de contrôler et de gérer le Nitassinan décrit ci</w:t>
      </w:r>
      <w:r w:rsidR="00CF3116" w:rsidRPr="00F52D1E">
        <w:rPr>
          <w:lang w:val="fr-CA"/>
        </w:rPr>
        <w:noBreakHyphen/>
        <w:t>dessus, y compris de contrôler et de gérer la faune, la flore, l’environnement et les ressources dudit N</w:t>
      </w:r>
      <w:r w:rsidR="009E2F25">
        <w:rPr>
          <w:lang w:val="fr-CA"/>
        </w:rPr>
        <w:t>itassinan;</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g)</w:t>
      </w:r>
      <w:r w:rsidR="00CF3116" w:rsidRPr="00F52D1E">
        <w:rPr>
          <w:lang w:val="fr-CA"/>
        </w:rPr>
        <w:tab/>
        <w:t>d’exercer des traditions et cérémoni</w:t>
      </w:r>
      <w:r w:rsidR="009E2F25">
        <w:rPr>
          <w:lang w:val="fr-CA"/>
        </w:rPr>
        <w:t>es spirituelles et culturelles;</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h)</w:t>
      </w:r>
      <w:r w:rsidR="00CF3116" w:rsidRPr="00F52D1E">
        <w:rPr>
          <w:lang w:val="fr-CA"/>
        </w:rPr>
        <w:tab/>
        <w:t>d’exploi</w:t>
      </w:r>
      <w:r w:rsidR="009E2F25">
        <w:rPr>
          <w:lang w:val="fr-CA"/>
        </w:rPr>
        <w:t>ter les ressources forestières;</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i)</w:t>
      </w:r>
      <w:r w:rsidR="00CF3116" w:rsidRPr="00F52D1E">
        <w:rPr>
          <w:lang w:val="fr-CA"/>
        </w:rPr>
        <w:tab/>
        <w:t>d’utiliser et de transmettre de génération en génération leur langu</w:t>
      </w:r>
      <w:r w:rsidR="009E2F25">
        <w:rPr>
          <w:lang w:val="fr-CA"/>
        </w:rPr>
        <w:t>e et leur culture distinctives;</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j)</w:t>
      </w:r>
      <w:r w:rsidR="00CF3116" w:rsidRPr="00F52D1E">
        <w:rPr>
          <w:lang w:val="fr-CA"/>
        </w:rPr>
        <w:tab/>
        <w:t>d’utiliser ledit Nitassinan pour fins religieuses et spirituelles, y compris aux fins de sépulture et aux fins de rites et tradition</w:t>
      </w:r>
      <w:r w:rsidR="009E2F25">
        <w:rPr>
          <w:lang w:val="fr-CA"/>
        </w:rPr>
        <w:t>s particulières face à la mort;</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k)</w:t>
      </w:r>
      <w:r w:rsidR="00CF3116" w:rsidRPr="00F52D1E">
        <w:rPr>
          <w:lang w:val="fr-CA"/>
        </w:rPr>
        <w:tab/>
        <w:t>d’exploiter et de jouir des ressources naturelles dudit Nitassinan et d’user de ses fruits, produits et r</w:t>
      </w:r>
      <w:r w:rsidR="009E2F25">
        <w:rPr>
          <w:lang w:val="fr-CA"/>
        </w:rPr>
        <w:t>essources;</w:t>
      </w:r>
    </w:p>
    <w:p w:rsidR="00CF3116" w:rsidRPr="00F52D1E" w:rsidRDefault="00CF3116" w:rsidP="00CF3116">
      <w:pPr>
        <w:pStyle w:val="Citation-AltC"/>
        <w:rPr>
          <w:lang w:val="fr-CA"/>
        </w:rPr>
      </w:pPr>
    </w:p>
    <w:p w:rsidR="00CF3116" w:rsidRPr="00F52D1E" w:rsidRDefault="00B152CD" w:rsidP="00CF3116">
      <w:pPr>
        <w:pStyle w:val="Citation-AltC"/>
        <w:tabs>
          <w:tab w:val="left" w:pos="1620"/>
        </w:tabs>
        <w:ind w:left="1620" w:hanging="450"/>
        <w:rPr>
          <w:lang w:val="fr-CA"/>
        </w:rPr>
      </w:pPr>
      <w:r>
        <w:rPr>
          <w:lang w:val="fr-CA"/>
        </w:rPr>
        <w:t>(</w:t>
      </w:r>
      <w:r w:rsidR="00CF3116" w:rsidRPr="00F52D1E">
        <w:rPr>
          <w:lang w:val="fr-CA"/>
        </w:rPr>
        <w:t>l)</w:t>
      </w:r>
      <w:r w:rsidR="00CF3116" w:rsidRPr="00F52D1E">
        <w:rPr>
          <w:lang w:val="fr-CA"/>
        </w:rPr>
        <w:tab/>
        <w:t>de circuler</w:t>
      </w:r>
      <w:r w:rsidR="009E2F25">
        <w:rPr>
          <w:lang w:val="fr-CA"/>
        </w:rPr>
        <w:t xml:space="preserve"> librement sur leur Nitassinan.</w:t>
      </w:r>
    </w:p>
    <w:p w:rsidR="00CF3116" w:rsidRPr="00F52D1E" w:rsidRDefault="00CF3116" w:rsidP="00CF3116">
      <w:pPr>
        <w:pStyle w:val="Citation-AltC"/>
        <w:rPr>
          <w:lang w:val="fr-CA"/>
        </w:rPr>
      </w:pPr>
    </w:p>
    <w:p w:rsidR="00CF3116" w:rsidRPr="00F52D1E" w:rsidRDefault="00CF3116" w:rsidP="00CF3116">
      <w:pPr>
        <w:pStyle w:val="Citation-AltC"/>
        <w:rPr>
          <w:lang w:val="fr-CA"/>
        </w:rPr>
      </w:pPr>
      <w:r w:rsidRPr="00F52D1E">
        <w:rPr>
          <w:b/>
          <w:lang w:val="fr-CA"/>
        </w:rPr>
        <w:t>DÉCLARER</w:t>
      </w:r>
      <w:r w:rsidRPr="00F52D1E">
        <w:rPr>
          <w:lang w:val="fr-CA"/>
        </w:rPr>
        <w:t xml:space="preserve"> que ledit titre Indien et les droits ancestraux et issus de traités des demandeurs les Innus de UM</w:t>
      </w:r>
      <w:r w:rsidRPr="00F52D1E">
        <w:rPr>
          <w:lang w:val="fr-CA"/>
        </w:rPr>
        <w:noBreakHyphen/>
        <w:t>MLJ sont protégés par la Constitution canadienne et ont préséance, constituent une condition et grèvent d’un fardeau et d’une charge tout droit des défenderesses dans, sur, au</w:t>
      </w:r>
      <w:r w:rsidRPr="00F52D1E">
        <w:rPr>
          <w:lang w:val="fr-CA"/>
        </w:rPr>
        <w:noBreakHyphen/>
        <w:t>dessus et en dessous du Nitassinan incluant les ressourc</w:t>
      </w:r>
      <w:r w:rsidR="009E2F25">
        <w:rPr>
          <w:lang w:val="fr-CA"/>
        </w:rPr>
        <w:t>es naturelles qui s’y trouvent;</w:t>
      </w:r>
    </w:p>
    <w:p w:rsidR="00CF3116" w:rsidRPr="00F52D1E" w:rsidRDefault="00CF3116" w:rsidP="00CF3116">
      <w:pPr>
        <w:pStyle w:val="Citation-AltC"/>
        <w:rPr>
          <w:lang w:val="fr-CA"/>
        </w:rPr>
      </w:pPr>
    </w:p>
    <w:p w:rsidR="00CF3116" w:rsidRPr="00F52D1E" w:rsidRDefault="00CF3116" w:rsidP="00CF3116">
      <w:pPr>
        <w:pStyle w:val="Citation-AltC"/>
        <w:rPr>
          <w:lang w:val="fr-CA"/>
        </w:rPr>
      </w:pPr>
      <w:r w:rsidRPr="00F52D1E">
        <w:rPr>
          <w:b/>
          <w:lang w:val="fr-CA"/>
        </w:rPr>
        <w:t>DÉCLARER</w:t>
      </w:r>
      <w:r w:rsidRPr="00F52D1E">
        <w:rPr>
          <w:lang w:val="fr-CA"/>
        </w:rPr>
        <w:t xml:space="preserve"> que le mégaprojet d’IOC et les opérations, installations et activités des défenderesses étaient et sont sujets au consentement des </w:t>
      </w:r>
      <w:r w:rsidR="009E2F25">
        <w:rPr>
          <w:lang w:val="fr-CA"/>
        </w:rPr>
        <w:t>demandeurs les Innus de UM</w:t>
      </w:r>
      <w:r w:rsidR="009E2F25">
        <w:rPr>
          <w:lang w:val="fr-CA"/>
        </w:rPr>
        <w:noBreakHyphen/>
        <w:t>MLJ;</w:t>
      </w:r>
    </w:p>
    <w:p w:rsidR="00CF3116" w:rsidRPr="00F52D1E" w:rsidRDefault="00CF3116" w:rsidP="00CF3116">
      <w:pPr>
        <w:pStyle w:val="Citation-AltC"/>
        <w:rPr>
          <w:lang w:val="fr-CA"/>
        </w:rPr>
      </w:pPr>
    </w:p>
    <w:p w:rsidR="00CF3116" w:rsidRPr="00F52D1E" w:rsidRDefault="00CF3116" w:rsidP="00CF3116">
      <w:pPr>
        <w:pStyle w:val="Citation-AltC"/>
        <w:rPr>
          <w:lang w:val="fr-CA"/>
        </w:rPr>
      </w:pPr>
      <w:r w:rsidRPr="00F52D1E">
        <w:rPr>
          <w:b/>
          <w:lang w:val="fr-CA"/>
        </w:rPr>
        <w:t>DÉCLARER</w:t>
      </w:r>
      <w:r w:rsidRPr="00F52D1E">
        <w:rPr>
          <w:lang w:val="fr-CA"/>
        </w:rPr>
        <w:t xml:space="preserve"> que le mégaprojet d’IOC et notamment les opérations, installations et activités des défenderesses et tous les travaux s’y rattachant, incluant les travaux dits préliminaires, et la réalisation de ceux</w:t>
      </w:r>
      <w:r w:rsidRPr="00F52D1E">
        <w:rPr>
          <w:lang w:val="fr-CA"/>
        </w:rPr>
        <w:noBreakHyphen/>
        <w:t>ci, sont illégaux et constituent une violation du titre indien et des droits ancestraux et issus de tra</w:t>
      </w:r>
      <w:r w:rsidR="009E2F25">
        <w:rPr>
          <w:lang w:val="fr-CA"/>
        </w:rPr>
        <w:t>ités des demandeurs; [p. 31</w:t>
      </w:r>
      <w:r w:rsidR="009E2F25">
        <w:rPr>
          <w:lang w:val="fr-CA"/>
        </w:rPr>
        <w:noBreakHyphen/>
        <w:t>32]</w:t>
      </w:r>
    </w:p>
    <w:p w:rsidR="00CF3116" w:rsidRPr="00F52D1E" w:rsidRDefault="00CF3116" w:rsidP="00CF3116">
      <w:pPr>
        <w:pStyle w:val="ParaNoNdepar-AltN"/>
        <w:rPr>
          <w:rFonts w:cs="Times New Roman"/>
          <w:lang w:val="fr-CA"/>
        </w:rPr>
      </w:pPr>
      <w:r w:rsidRPr="00F52D1E">
        <w:rPr>
          <w:rFonts w:cs="Times New Roman"/>
          <w:lang w:val="fr-CA"/>
        </w:rPr>
        <w:t xml:space="preserve">Puisqu’elles visent manifestement à faire </w:t>
      </w:r>
      <w:r w:rsidRPr="00F52D1E">
        <w:rPr>
          <w:rFonts w:cs="Times New Roman"/>
          <w:i/>
          <w:lang w:val="fr-CA"/>
        </w:rPr>
        <w:t>reconnaître</w:t>
      </w:r>
      <w:r w:rsidRPr="00F52D1E">
        <w:rPr>
          <w:rFonts w:cs="Times New Roman"/>
          <w:lang w:val="fr-CA"/>
        </w:rPr>
        <w:t xml:space="preserve"> un titre ancestral et d’autres droits ancestraux ou issus de traités, lesquels sont des droits réels aux fins du droit international privé, ces demandes sont de nature réelle. En fait, le jugement déclaratoire est le moyen principal par lequel l’existence d’un titre ancestral peut être établie : </w:t>
      </w:r>
      <w:r w:rsidRPr="00F52D1E">
        <w:rPr>
          <w:rFonts w:cs="Times New Roman"/>
          <w:i/>
          <w:lang w:val="fr-CA"/>
        </w:rPr>
        <w:t>Nation Tsilhqot’in</w:t>
      </w:r>
      <w:r w:rsidRPr="00F52D1E">
        <w:rPr>
          <w:rFonts w:cs="Times New Roman"/>
          <w:lang w:val="fr-CA"/>
        </w:rPr>
        <w:t>, par. 89</w:t>
      </w:r>
      <w:r w:rsidRPr="00F52D1E">
        <w:rPr>
          <w:rFonts w:cs="Times New Roman"/>
          <w:lang w:val="fr-CA"/>
        </w:rPr>
        <w:noBreakHyphen/>
        <w:t xml:space="preserve">90. Le jugement déclaratoire est aussi généralement un véhicule procédural privilégié en droit des biens : L. Sarna, </w:t>
      </w:r>
      <w:r w:rsidRPr="00F52D1E">
        <w:rPr>
          <w:rFonts w:cs="Times New Roman"/>
          <w:i/>
          <w:lang w:val="fr-CA"/>
        </w:rPr>
        <w:t>The Law of Declaratory Judgments</w:t>
      </w:r>
      <w:r w:rsidRPr="00F52D1E">
        <w:rPr>
          <w:rFonts w:cs="Times New Roman"/>
          <w:lang w:val="fr-CA"/>
        </w:rPr>
        <w:t xml:space="preserve"> (4</w:t>
      </w:r>
      <w:r w:rsidRPr="00F52D1E">
        <w:rPr>
          <w:rFonts w:cs="Times New Roman"/>
          <w:vertAlign w:val="superscript"/>
          <w:lang w:val="fr-CA"/>
        </w:rPr>
        <w:t>e</w:t>
      </w:r>
      <w:r w:rsidRPr="00F52D1E">
        <w:rPr>
          <w:rFonts w:cs="Times New Roman"/>
          <w:lang w:val="fr-CA"/>
        </w:rPr>
        <w:t xml:space="preserve"> éd. 2016), p. 249. Certes, [</w:t>
      </w:r>
      <w:r w:rsidRPr="00F52D1E">
        <w:rPr>
          <w:rFonts w:cs="Times New Roman"/>
          <w:smallCaps/>
          <w:lang w:val="fr-CA"/>
        </w:rPr>
        <w:t>traduction</w:t>
      </w:r>
      <w:r w:rsidRPr="00F52D1E">
        <w:rPr>
          <w:rFonts w:cs="Times New Roman"/>
          <w:lang w:val="fr-CA"/>
        </w:rPr>
        <w:t>] « </w:t>
      </w:r>
      <w:r w:rsidR="00C05B8D">
        <w:rPr>
          <w:rFonts w:cs="Times New Roman"/>
          <w:lang w:val="fr-CA"/>
        </w:rPr>
        <w:t>[</w:t>
      </w:r>
      <w:r w:rsidRPr="00F52D1E">
        <w:rPr>
          <w:rFonts w:cs="Times New Roman"/>
          <w:lang w:val="fr-CA"/>
        </w:rPr>
        <w:t>l</w:t>
      </w:r>
      <w:r w:rsidR="00C05B8D">
        <w:rPr>
          <w:rFonts w:cs="Times New Roman"/>
          <w:lang w:val="fr-CA"/>
        </w:rPr>
        <w:t>]</w:t>
      </w:r>
      <w:r w:rsidRPr="00F52D1E">
        <w:rPr>
          <w:rFonts w:cs="Times New Roman"/>
          <w:lang w:val="fr-CA"/>
        </w:rPr>
        <w:t xml:space="preserve">e tribunal </w:t>
      </w:r>
      <w:r w:rsidRPr="00F52D1E">
        <w:rPr>
          <w:rFonts w:cs="Times New Roman"/>
          <w:lang w:val="fr-CA"/>
        </w:rPr>
        <w:lastRenderedPageBreak/>
        <w:t xml:space="preserve">d’une juridiction géographique peut, dans </w:t>
      </w:r>
      <w:r w:rsidRPr="00F52D1E">
        <w:rPr>
          <w:rFonts w:cs="Times New Roman"/>
          <w:u w:val="single"/>
          <w:lang w:val="fr-CA"/>
        </w:rPr>
        <w:t>des circonstances limitées</w:t>
      </w:r>
      <w:r w:rsidRPr="00F52D1E">
        <w:rPr>
          <w:rFonts w:cs="Times New Roman"/>
          <w:lang w:val="fr-CA"/>
        </w:rPr>
        <w:t xml:space="preserve">, prononcer une déclaration applicable à une partie située dans une autre juridiction, si la déclaration est utile, qu’elle soit ou non exécutoire » (Sarna, p. 91 (nous soulignons)), mais conformément à l’art. 3152 </w:t>
      </w:r>
      <w:r w:rsidRPr="00F52D1E">
        <w:rPr>
          <w:rFonts w:cs="Times New Roman"/>
          <w:i/>
          <w:lang w:val="fr-CA"/>
        </w:rPr>
        <w:t>C.c.Q.</w:t>
      </w:r>
      <w:r w:rsidRPr="00F52D1E">
        <w:rPr>
          <w:rFonts w:cs="Times New Roman"/>
          <w:lang w:val="fr-CA"/>
        </w:rPr>
        <w:t xml:space="preserve">, un tribunal ne peut faire droit à une demande de jugement déclaratoire </w:t>
      </w:r>
      <w:r w:rsidRPr="00F52D1E">
        <w:rPr>
          <w:rFonts w:cs="Times New Roman"/>
          <w:i/>
          <w:lang w:val="fr-CA"/>
        </w:rPr>
        <w:t>relativement à des droits de propriété ou de possession</w:t>
      </w:r>
      <w:r w:rsidRPr="00F52D1E">
        <w:rPr>
          <w:rFonts w:cs="Times New Roman"/>
          <w:lang w:val="fr-CA"/>
        </w:rPr>
        <w:t xml:space="preserve"> sur un immeuble situé à l’étranger car, ce faisant, elle prétendrait agir </w:t>
      </w:r>
      <w:r w:rsidRPr="00F52D1E">
        <w:rPr>
          <w:rFonts w:cs="Times New Roman"/>
          <w:i/>
          <w:lang w:val="fr-CA"/>
        </w:rPr>
        <w:t>directement</w:t>
      </w:r>
      <w:r w:rsidRPr="00F52D1E">
        <w:rPr>
          <w:rFonts w:cs="Times New Roman"/>
          <w:lang w:val="fr-CA"/>
        </w:rPr>
        <w:t xml:space="preserve"> sur le titre : voir, par exemple, </w:t>
      </w:r>
      <w:r w:rsidRPr="00F52D1E">
        <w:rPr>
          <w:rFonts w:cs="Times New Roman"/>
          <w:i/>
          <w:lang w:val="fr-CA"/>
        </w:rPr>
        <w:t>Khan Resources Inc. c. W M Mining Co., LLC</w:t>
      </w:r>
      <w:r w:rsidRPr="00F52D1E">
        <w:rPr>
          <w:rFonts w:cs="Times New Roman"/>
          <w:lang w:val="fr-CA"/>
        </w:rPr>
        <w:t xml:space="preserve"> (2006), 79 O.R. (3d) 411 (C.A. Ont.), par. 19 et 24; </w:t>
      </w:r>
      <w:r w:rsidRPr="00F52D1E">
        <w:rPr>
          <w:rFonts w:cs="Times New Roman"/>
          <w:i/>
          <w:lang w:val="fr-CA"/>
        </w:rPr>
        <w:t xml:space="preserve">War Eagle Mining Co. c. Robo Management Co. </w:t>
      </w:r>
      <w:r w:rsidRPr="00F52D1E">
        <w:rPr>
          <w:rFonts w:cs="Times New Roman"/>
          <w:lang w:val="fr-CA"/>
        </w:rPr>
        <w:t>(1995), 13 B.C</w:t>
      </w:r>
      <w:r w:rsidR="009E2F25">
        <w:rPr>
          <w:rFonts w:cs="Times New Roman"/>
          <w:lang w:val="fr-CA"/>
        </w:rPr>
        <w:t>.L.R. (3d) 362 (C.S.), par. 27.</w:t>
      </w:r>
    </w:p>
    <w:p w:rsidR="00CF3116" w:rsidRPr="00F52D1E" w:rsidRDefault="00CF3116" w:rsidP="00CF3116">
      <w:pPr>
        <w:pStyle w:val="ParaNoNdepar-AltN"/>
        <w:rPr>
          <w:rFonts w:cs="Times New Roman"/>
          <w:lang w:val="fr-CA"/>
        </w:rPr>
      </w:pPr>
      <w:r w:rsidRPr="00F52D1E">
        <w:rPr>
          <w:rFonts w:cs="Times New Roman"/>
          <w:lang w:val="fr-CA"/>
        </w:rPr>
        <w:t xml:space="preserve">Les Innus font valoir que les déclarations qu’ils sollicitent seraient opposables </w:t>
      </w:r>
      <w:r w:rsidRPr="00F52D1E">
        <w:rPr>
          <w:rFonts w:cs="Times New Roman"/>
          <w:i/>
          <w:lang w:val="fr-CA"/>
        </w:rPr>
        <w:t>seulement</w:t>
      </w:r>
      <w:r w:rsidRPr="00F52D1E">
        <w:rPr>
          <w:rFonts w:cs="Times New Roman"/>
          <w:lang w:val="fr-CA"/>
        </w:rPr>
        <w:t xml:space="preserve"> aux défenderesses IOC et QNS</w:t>
      </w:r>
      <w:r w:rsidR="00E51CCA">
        <w:rPr>
          <w:rFonts w:cs="Times New Roman"/>
          <w:lang w:val="fr-CA"/>
        </w:rPr>
        <w:t>&amp;L, et non à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La Cour d’appel a souscrit à cet argument (par. 91), qui est plus pertinent relativement au second moyen d’appel soulevé par le PGTNL, c’est</w:t>
      </w:r>
      <w:r w:rsidRPr="00F52D1E">
        <w:rPr>
          <w:rFonts w:cs="Times New Roman"/>
          <w:lang w:val="fr-CA"/>
        </w:rPr>
        <w:noBreakHyphen/>
        <w:t>à</w:t>
      </w:r>
      <w:r w:rsidRPr="00F52D1E">
        <w:rPr>
          <w:rFonts w:cs="Times New Roman"/>
          <w:lang w:val="fr-CA"/>
        </w:rPr>
        <w:noBreakHyphen/>
        <w:t xml:space="preserve">dire relativement à la question de savoir si l’action des Innus est </w:t>
      </w:r>
      <w:r w:rsidRPr="00F52D1E">
        <w:rPr>
          <w:rFonts w:cs="Times New Roman"/>
          <w:i/>
          <w:lang w:val="fr-CA"/>
        </w:rPr>
        <w:t>en substance</w:t>
      </w:r>
      <w:r w:rsidRPr="00F52D1E">
        <w:rPr>
          <w:rFonts w:cs="Times New Roman"/>
          <w:lang w:val="fr-CA"/>
        </w:rPr>
        <w:t xml:space="preserve"> di</w:t>
      </w:r>
      <w:r w:rsidR="00E51CCA">
        <w:rPr>
          <w:rFonts w:cs="Times New Roman"/>
          <w:lang w:val="fr-CA"/>
        </w:rPr>
        <w:t>rigée contre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ce qui engagerait selon le PGTNL la doctrine de l’immunité jur</w:t>
      </w:r>
      <w:r w:rsidR="009E2F25">
        <w:rPr>
          <w:rFonts w:cs="Times New Roman"/>
          <w:lang w:val="fr-CA"/>
        </w:rPr>
        <w:t>idictionnelle interprovinciale.</w:t>
      </w:r>
    </w:p>
    <w:p w:rsidR="00CF3116" w:rsidRPr="00F52D1E" w:rsidRDefault="00CF3116" w:rsidP="00CF3116">
      <w:pPr>
        <w:pStyle w:val="ParaNoNdepar-AltN"/>
        <w:rPr>
          <w:rFonts w:cs="Times New Roman"/>
          <w:lang w:val="fr-CA"/>
        </w:rPr>
      </w:pPr>
      <w:r w:rsidRPr="00F52D1E">
        <w:rPr>
          <w:rFonts w:cs="Times New Roman"/>
          <w:lang w:val="fr-CA"/>
        </w:rPr>
        <w:t xml:space="preserve">Même si les Innus avaient raison de soutenir que les déclarations qu’ils sollicitent seraient opposables </w:t>
      </w:r>
      <w:r w:rsidRPr="00F52D1E">
        <w:rPr>
          <w:rFonts w:cs="Times New Roman"/>
          <w:i/>
          <w:lang w:val="fr-CA"/>
        </w:rPr>
        <w:t>seulement</w:t>
      </w:r>
      <w:r w:rsidRPr="00F52D1E">
        <w:rPr>
          <w:rFonts w:cs="Times New Roman"/>
          <w:lang w:val="fr-CA"/>
        </w:rPr>
        <w:t xml:space="preserve"> aux défenderesses IOC et QNS&amp;L, il n’en demeure pas moins qu’il s’agirait de déclarations portant </w:t>
      </w:r>
      <w:r w:rsidRPr="00F52D1E">
        <w:rPr>
          <w:rFonts w:cs="Times New Roman"/>
          <w:i/>
          <w:lang w:val="fr-CA"/>
        </w:rPr>
        <w:t>sur le titre</w:t>
      </w:r>
      <w:r w:rsidRPr="00F52D1E">
        <w:rPr>
          <w:rFonts w:cs="Times New Roman"/>
          <w:lang w:val="fr-CA"/>
        </w:rPr>
        <w:t xml:space="preserve"> dont les Innus allèguent être titulaires à l’égard du Nitassinan, y compris sur les parties de ce territoire qui sont situées à l’extérieur du Québec. En raison de l’art. 3152 </w:t>
      </w:r>
      <w:r w:rsidRPr="00F52D1E">
        <w:rPr>
          <w:rFonts w:cs="Times New Roman"/>
          <w:i/>
          <w:lang w:val="fr-CA"/>
        </w:rPr>
        <w:t>C.c.Q.</w:t>
      </w:r>
      <w:r w:rsidRPr="00F52D1E">
        <w:rPr>
          <w:rFonts w:cs="Times New Roman"/>
          <w:lang w:val="fr-CA"/>
        </w:rPr>
        <w:t xml:space="preserve">, les autorités québécoises </w:t>
      </w:r>
      <w:r w:rsidR="009E2F25">
        <w:rPr>
          <w:rFonts w:cs="Times New Roman"/>
          <w:lang w:val="fr-CA"/>
        </w:rPr>
        <w:t>sont incompétentes à cet égard.</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En termes clairs, nous sommes d’avis que, si les autorités québécoises se prononçaient directement </w:t>
      </w:r>
      <w:r w:rsidRPr="00F52D1E">
        <w:rPr>
          <w:rFonts w:cs="Times New Roman"/>
          <w:i/>
          <w:lang w:val="fr-CA"/>
        </w:rPr>
        <w:t>sur le titre</w:t>
      </w:r>
      <w:r w:rsidRPr="00F52D1E">
        <w:rPr>
          <w:rFonts w:cs="Times New Roman"/>
          <w:lang w:val="fr-CA"/>
        </w:rPr>
        <w:t xml:space="preserve"> dont les Innus estiment être titulaires à l’égard des parties du Nitassinan qui sont situées à l’extérieur du Québec, ces déclarations ne seraient opposables à</w:t>
      </w:r>
      <w:r w:rsidRPr="00F52D1E">
        <w:rPr>
          <w:rFonts w:cs="Times New Roman"/>
          <w:i/>
          <w:lang w:val="fr-CA"/>
        </w:rPr>
        <w:t xml:space="preserve"> personne</w:t>
      </w:r>
      <w:r w:rsidRPr="00F52D1E">
        <w:rPr>
          <w:rFonts w:cs="Times New Roman"/>
          <w:lang w:val="fr-CA"/>
        </w:rPr>
        <w:t xml:space="preserve">, pas même aux défenderesses IOC et QNS&amp;L, précisément parce que les autorités québécoises sont incompétentes à cet égard : </w:t>
      </w:r>
      <w:r w:rsidRPr="00F52D1E">
        <w:rPr>
          <w:rFonts w:cs="Times New Roman"/>
          <w:i/>
          <w:lang w:val="fr-CA"/>
        </w:rPr>
        <w:t>Medicine Hat (City) c. Wilson</w:t>
      </w:r>
      <w:r w:rsidRPr="00F52D1E">
        <w:rPr>
          <w:rFonts w:cs="Times New Roman"/>
          <w:lang w:val="fr-CA"/>
        </w:rPr>
        <w:t xml:space="preserve">, 2000 ABCA 247, 271 A.R. 96, par. 96, citant G. Spencer Bower, A. Kingcome Turner et K. R. Handley, </w:t>
      </w:r>
      <w:r w:rsidRPr="00F52D1E">
        <w:rPr>
          <w:rFonts w:cs="Times New Roman"/>
          <w:i/>
          <w:lang w:val="fr-CA"/>
        </w:rPr>
        <w:t>The Doctrine of Res Judicata</w:t>
      </w:r>
      <w:r w:rsidRPr="00F52D1E">
        <w:rPr>
          <w:rFonts w:cs="Times New Roman"/>
          <w:lang w:val="fr-CA"/>
        </w:rPr>
        <w:t xml:space="preserve"> (3</w:t>
      </w:r>
      <w:r w:rsidRPr="00F52D1E">
        <w:rPr>
          <w:rFonts w:cs="Times New Roman"/>
          <w:vertAlign w:val="superscript"/>
          <w:lang w:val="fr-CA"/>
        </w:rPr>
        <w:t>e</w:t>
      </w:r>
      <w:r w:rsidR="009E2F25">
        <w:rPr>
          <w:rFonts w:cs="Times New Roman"/>
          <w:lang w:val="fr-CA"/>
        </w:rPr>
        <w:t xml:space="preserve"> éd. 1996), par. 235.</w:t>
      </w:r>
    </w:p>
    <w:p w:rsidR="00CF3116" w:rsidRPr="00F52D1E" w:rsidRDefault="00CF3116" w:rsidP="00CF3116">
      <w:pPr>
        <w:pStyle w:val="ParaNoNdepar-AltN"/>
        <w:rPr>
          <w:rFonts w:cs="Times New Roman"/>
          <w:lang w:val="fr-CA"/>
        </w:rPr>
      </w:pPr>
      <w:r w:rsidRPr="00F52D1E">
        <w:rPr>
          <w:rFonts w:cs="Times New Roman"/>
          <w:lang w:val="fr-CA"/>
        </w:rPr>
        <w:t xml:space="preserve">En principe, « les conclusions qui sont essentiellement de nature factuelle ne lient pas les tribunaux d’autres provinces » : </w:t>
      </w:r>
      <w:r w:rsidRPr="00F52D1E">
        <w:rPr>
          <w:rFonts w:cs="Times New Roman"/>
          <w:i/>
          <w:lang w:val="fr-CA"/>
        </w:rPr>
        <w:t>Hunt</w:t>
      </w:r>
      <w:r w:rsidRPr="00F52D1E">
        <w:rPr>
          <w:rFonts w:cs="Times New Roman"/>
          <w:lang w:val="fr-CA"/>
        </w:rPr>
        <w:t>, p. 310; à ce sujet, voir transcription, p. 9. À plus forte raison, les conclusions de droit ou mixtes de droit et de fait sur l’existence d’un titre ancestral ou d’autres droits ancestraux ou issus de traités sur des terres situées à l’extérieur du Québec, conclusions qui seraient par hypothèse tirées par la Cour supérieure du Québec — incompétente à cet égard —, ne lieraient pas les tribunaux des autres provinces, et ce, peu importe que ces déclarations soient contenues dans les motifs ou dans le dispositif formel du jugement : voir aussi, à ce sujet, transcription, p. 10</w:t>
      </w:r>
      <w:r w:rsidRPr="00F52D1E">
        <w:rPr>
          <w:rFonts w:cs="Times New Roman"/>
          <w:lang w:val="fr-CA"/>
        </w:rPr>
        <w:noBreakHyphen/>
        <w:t>11 et 46.</w:t>
      </w:r>
    </w:p>
    <w:p w:rsidR="00CF3116" w:rsidRPr="00F52D1E" w:rsidRDefault="00CF3116" w:rsidP="00CF3116">
      <w:pPr>
        <w:pStyle w:val="ParaNoNdepar-AltN"/>
        <w:rPr>
          <w:rFonts w:cs="Times New Roman"/>
          <w:lang w:val="fr-CA"/>
        </w:rPr>
      </w:pPr>
      <w:r w:rsidRPr="00F52D1E">
        <w:rPr>
          <w:rFonts w:cs="Times New Roman"/>
          <w:lang w:val="fr-CA"/>
        </w:rPr>
        <w:t xml:space="preserve">Nous soulignerions ici que la stratégie choisie par les Innus ne favorise pas nécessairement la proportionnalité des procédures. En effet, ils souhaitent être autorisés à s’engager au Québec dans un débat long et coûteux dont le résultat serait, selon leur propre admission, des déclarations </w:t>
      </w:r>
      <w:r w:rsidRPr="00F52D1E">
        <w:rPr>
          <w:rFonts w:cs="Times New Roman"/>
          <w:i/>
          <w:lang w:val="fr-CA"/>
        </w:rPr>
        <w:t>sans valeur</w:t>
      </w:r>
      <w:r w:rsidRPr="00F52D1E">
        <w:rPr>
          <w:rFonts w:cs="Times New Roman"/>
          <w:lang w:val="fr-CA"/>
        </w:rPr>
        <w:t xml:space="preserve"> </w:t>
      </w:r>
      <w:r w:rsidR="00E51CCA">
        <w:rPr>
          <w:rFonts w:cs="Times New Roman"/>
          <w:lang w:val="fr-CA"/>
        </w:rPr>
        <w:t>à l’égard de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Dans la logique des Innus, ces derniers devraient par la suite, s’ils souhaitaient se lancer dans une « revendication territoriale globale », </w:t>
      </w:r>
      <w:r w:rsidRPr="00F52D1E">
        <w:rPr>
          <w:rFonts w:cs="Times New Roman"/>
          <w:lang w:val="fr-CA"/>
        </w:rPr>
        <w:lastRenderedPageBreak/>
        <w:t>recommencer le même débat devant les autorités compétentes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 transcription, p. 88. Cela ressort clairement des échanges survenus entre notre Cour et les procureurs</w:t>
      </w:r>
      <w:r w:rsidR="009E2F25">
        <w:rPr>
          <w:rFonts w:cs="Times New Roman"/>
          <w:lang w:val="fr-CA"/>
        </w:rPr>
        <w:t xml:space="preserve"> des Innus lors de l’audience :</w:t>
      </w:r>
    </w:p>
    <w:p w:rsidR="00CF3116" w:rsidRPr="00F52D1E" w:rsidRDefault="00CF3116" w:rsidP="00CF3116">
      <w:pPr>
        <w:pStyle w:val="Citation-AltC"/>
        <w:ind w:firstLine="274"/>
        <w:rPr>
          <w:lang w:val="fr-CA"/>
        </w:rPr>
      </w:pPr>
      <w:r w:rsidRPr="00F52D1E">
        <w:rPr>
          <w:lang w:val="fr-CA"/>
        </w:rPr>
        <w:t>[M</w:t>
      </w:r>
      <w:r w:rsidRPr="00F52D1E">
        <w:rPr>
          <w:vertAlign w:val="superscript"/>
          <w:lang w:val="fr-CA"/>
        </w:rPr>
        <w:t>e</w:t>
      </w:r>
      <w:r w:rsidRPr="00F52D1E">
        <w:rPr>
          <w:lang w:val="fr-CA"/>
        </w:rPr>
        <w:t xml:space="preserve"> Bertrand :] D’ailleurs, c’est pour ça que la Cour d’appel les invite à venir participer au débat [le PGTNL]. Puis, en première instance, c’était la même chose. Mais ils ont choisi de ne comparaître que pour contester la compétence, c’est tout. Mais, oui, en réponse à votre question, </w:t>
      </w:r>
      <w:proofErr w:type="gramStart"/>
      <w:r w:rsidRPr="00F52D1E">
        <w:rPr>
          <w:lang w:val="fr-CA"/>
        </w:rPr>
        <w:t>ça .</w:t>
      </w:r>
      <w:proofErr w:type="gramEnd"/>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 xml:space="preserve">Monsieur le juge Gascon : Mais s’ils </w:t>
      </w:r>
      <w:proofErr w:type="gramStart"/>
      <w:r w:rsidRPr="00F52D1E">
        <w:rPr>
          <w:lang w:val="fr-CA"/>
        </w:rPr>
        <w:t>participent .</w:t>
      </w:r>
      <w:proofErr w:type="gramEnd"/>
      <w:r w:rsidRPr="00F52D1E">
        <w:rPr>
          <w:lang w:val="fr-CA"/>
        </w:rPr>
        <w:t> . . Excusez</w:t>
      </w:r>
      <w:r w:rsidRPr="00F52D1E">
        <w:rPr>
          <w:lang w:val="fr-CA"/>
        </w:rPr>
        <w:noBreakHyphen/>
        <w:t xml:space="preserve">moi, mais c’est ça que je ne saisis pas, là. S’ils </w:t>
      </w:r>
      <w:proofErr w:type="gramStart"/>
      <w:r w:rsidRPr="00F52D1E">
        <w:rPr>
          <w:lang w:val="fr-CA"/>
        </w:rPr>
        <w:t>participent .</w:t>
      </w:r>
      <w:proofErr w:type="gramEnd"/>
      <w:r w:rsidRPr="00F52D1E">
        <w:rPr>
          <w:lang w:val="fr-CA"/>
        </w:rPr>
        <w:t> . . si la Cour d’appel les invite à participer au débat, ce serait pourquoi? Parce que vous me dites qu’ils vont participer au débat, oui, mais ce ne sera pas opposable à eux. Voulez</w:t>
      </w:r>
      <w:r w:rsidRPr="00F52D1E">
        <w:rPr>
          <w:lang w:val="fr-CA"/>
        </w:rPr>
        <w:noBreakHyphen/>
        <w:t>vous bien me dire qu’est</w:t>
      </w:r>
      <w:r w:rsidRPr="00F52D1E">
        <w:rPr>
          <w:lang w:val="fr-CA"/>
        </w:rPr>
        <w:noBreakHyphen/>
        <w:t>ce qu’ils vont aller faire là?</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w:t>
      </w:r>
      <w:r w:rsidRPr="00F52D1E">
        <w:rPr>
          <w:vertAlign w:val="superscript"/>
          <w:lang w:val="fr-CA"/>
        </w:rPr>
        <w:t xml:space="preserve">e </w:t>
      </w:r>
      <w:r w:rsidRPr="00F52D1E">
        <w:rPr>
          <w:lang w:val="fr-CA"/>
        </w:rPr>
        <w:t xml:space="preserve">Bertrand : Bien, ils peuvent être appelés en garantie pareil aussi. Ils peuvent être appelés en garantie pareil aussi. Ils peuvent choisir de venir </w:t>
      </w:r>
      <w:proofErr w:type="gramStart"/>
      <w:r w:rsidRPr="00F52D1E">
        <w:rPr>
          <w:lang w:val="fr-CA"/>
        </w:rPr>
        <w:t>pour .</w:t>
      </w:r>
      <w:proofErr w:type="gramEnd"/>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 xml:space="preserve">Monsieur le juge Gascon : Oui, mais l’invitation à participer de la Cour d’appel est faite dans son arrêt, là. Elle n’est pas faite en fonction d’un appel en garantie ou </w:t>
      </w:r>
      <w:proofErr w:type="gramStart"/>
      <w:r w:rsidRPr="00F52D1E">
        <w:rPr>
          <w:lang w:val="fr-CA"/>
        </w:rPr>
        <w:t>de .</w:t>
      </w:r>
      <w:proofErr w:type="gramEnd"/>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w:t>
      </w:r>
      <w:r w:rsidRPr="00F52D1E">
        <w:rPr>
          <w:vertAlign w:val="superscript"/>
          <w:lang w:val="fr-CA"/>
        </w:rPr>
        <w:t>e</w:t>
      </w:r>
      <w:r w:rsidR="009E2F25">
        <w:rPr>
          <w:lang w:val="fr-CA"/>
        </w:rPr>
        <w:t xml:space="preserve"> Bertrand : Oui.</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 xml:space="preserve">Monsieur le juge Gascon : . . . une mise en cause forcée, là. Puis vous dites : « Même si on continue — puis c’est ce que la Cour d’appel les invite à faire — ils peuvent venir participer au débat. » Mais pourquoi </w:t>
      </w:r>
      <w:proofErr w:type="gramStart"/>
      <w:r w:rsidRPr="00F52D1E">
        <w:rPr>
          <w:lang w:val="fr-CA"/>
        </w:rPr>
        <w:t>donc .</w:t>
      </w:r>
      <w:proofErr w:type="gramEnd"/>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w:t>
      </w:r>
      <w:r w:rsidRPr="00F52D1E">
        <w:rPr>
          <w:vertAlign w:val="superscript"/>
          <w:lang w:val="fr-CA"/>
        </w:rPr>
        <w:t>e</w:t>
      </w:r>
      <w:r w:rsidRPr="00F52D1E">
        <w:rPr>
          <w:lang w:val="fr-CA"/>
        </w:rPr>
        <w:t xml:space="preserve"> Bertrand : Bien, mais </w:t>
      </w:r>
      <w:proofErr w:type="gramStart"/>
      <w:r w:rsidRPr="00F52D1E">
        <w:rPr>
          <w:lang w:val="fr-CA"/>
        </w:rPr>
        <w:t>quand .</w:t>
      </w:r>
      <w:proofErr w:type="gramEnd"/>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 xml:space="preserve">Monsieur le juge Gascon : . . . si, en bout de ligne, </w:t>
      </w:r>
      <w:proofErr w:type="gramStart"/>
      <w:r w:rsidRPr="00F52D1E">
        <w:rPr>
          <w:lang w:val="fr-CA"/>
        </w:rPr>
        <w:t>ça .</w:t>
      </w:r>
      <w:proofErr w:type="gramEnd"/>
      <w:r w:rsidRPr="00F52D1E">
        <w:rPr>
          <w:lang w:val="fr-CA"/>
        </w:rPr>
        <w:t> . . si en bout de ligne, ça ne rend pas ça opposable puis la . . . ce qui m’amène à penser que, même dans votre scénario, ça va en prendre une autre procédure quelque part sans doute à Terre</w:t>
      </w:r>
      <w:r w:rsidRPr="00F52D1E">
        <w:rPr>
          <w:lang w:val="fr-CA"/>
        </w:rPr>
        <w:noBreakHyphen/>
        <w:t>Neuve, ne serait</w:t>
      </w:r>
      <w:r w:rsidRPr="00F52D1E">
        <w:rPr>
          <w:lang w:val="fr-CA"/>
        </w:rPr>
        <w:noBreakHyphen/>
        <w:t>ce que pour que ces droits</w:t>
      </w:r>
      <w:r w:rsidRPr="00F52D1E">
        <w:rPr>
          <w:lang w:val="fr-CA"/>
        </w:rPr>
        <w:noBreakHyphen/>
        <w:t>là aient un impact .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w:t>
      </w:r>
      <w:r w:rsidRPr="00F52D1E">
        <w:rPr>
          <w:vertAlign w:val="superscript"/>
          <w:lang w:val="fr-CA"/>
        </w:rPr>
        <w:t>e</w:t>
      </w:r>
      <w:r w:rsidR="009E2F25">
        <w:rPr>
          <w:lang w:val="fr-CA"/>
        </w:rPr>
        <w:t xml:space="preserve"> Bertrand : Oui.</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Monsieur le juge Gascon</w:t>
      </w:r>
      <w:r w:rsidR="009E2F25">
        <w:rPr>
          <w:lang w:val="fr-CA"/>
        </w:rPr>
        <w:t> : . . . sur cette province</w:t>
      </w:r>
      <w:r w:rsidR="009E2F25">
        <w:rPr>
          <w:lang w:val="fr-CA"/>
        </w:rPr>
        <w:noBreakHyphen/>
        <w:t>là.</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w:t>
      </w:r>
      <w:r w:rsidRPr="00F52D1E">
        <w:rPr>
          <w:vertAlign w:val="superscript"/>
          <w:lang w:val="fr-CA"/>
        </w:rPr>
        <w:t>e</w:t>
      </w:r>
      <w:r w:rsidRPr="00F52D1E">
        <w:rPr>
          <w:lang w:val="fr-CA"/>
        </w:rPr>
        <w:t xml:space="preserve"> Bertrand : Oui, mais on peut choisir, comme vous le </w:t>
      </w:r>
      <w:proofErr w:type="gramStart"/>
      <w:r w:rsidRPr="00F52D1E">
        <w:rPr>
          <w:lang w:val="fr-CA"/>
        </w:rPr>
        <w:t>savez .</w:t>
      </w:r>
      <w:proofErr w:type="gramEnd"/>
      <w:r w:rsidRPr="00F52D1E">
        <w:rPr>
          <w:lang w:val="fr-CA"/>
        </w:rPr>
        <w:t xml:space="preserve"> . . Évidemment, même, la Cour nous encourageait à ça. On peut choisir la voie de la discussion, de la négociation, comme on peut également choisir la voie judiciaire. Mais, dans le contexte d’une revendication territoriale </w:t>
      </w:r>
      <w:r w:rsidRPr="00F52D1E">
        <w:rPr>
          <w:lang w:val="fr-CA"/>
        </w:rPr>
        <w:lastRenderedPageBreak/>
        <w:t xml:space="preserve">globale, qui est évidemment très distincte du présent dossier, qui est vraiment une action en </w:t>
      </w:r>
      <w:proofErr w:type="gramStart"/>
      <w:r w:rsidRPr="00F52D1E">
        <w:rPr>
          <w:lang w:val="fr-CA"/>
        </w:rPr>
        <w:t>dommages .</w:t>
      </w:r>
      <w:proofErr w:type="gramEnd"/>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Mais, écoutez, ils peuvent ne pas venir aussi participer au débat s’ils ne veulent pas venir participer au débat, Terr</w:t>
      </w:r>
      <w:r w:rsidR="009E2F25">
        <w:rPr>
          <w:lang w:val="fr-CA"/>
        </w:rPr>
        <w:t>e</w:t>
      </w:r>
      <w:r w:rsidR="009E2F25">
        <w:rPr>
          <w:lang w:val="fr-CA"/>
        </w:rPr>
        <w:noBreakHyphen/>
        <w:t>Neuve.</w:t>
      </w:r>
    </w:p>
    <w:p w:rsidR="00CF3116" w:rsidRPr="00F52D1E" w:rsidRDefault="00CF3116" w:rsidP="00CF3116">
      <w:pPr>
        <w:pStyle w:val="Citation-AltC"/>
        <w:rPr>
          <w:lang w:val="fr-CA"/>
        </w:rPr>
      </w:pPr>
    </w:p>
    <w:p w:rsidR="00CF3116" w:rsidRPr="00F52D1E" w:rsidRDefault="00CF3116" w:rsidP="00CF3116">
      <w:pPr>
        <w:pStyle w:val="Citation-AltC"/>
        <w:jc w:val="center"/>
        <w:rPr>
          <w:lang w:val="fr-CA"/>
        </w:rPr>
      </w:pPr>
      <w:r w:rsidRPr="00F52D1E">
        <w:rPr>
          <w:lang w:val="fr-CA"/>
        </w:rPr>
        <w:t>. . .</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 xml:space="preserve">Monsieur le juge Gascon : Si </w:t>
      </w:r>
      <w:proofErr w:type="gramStart"/>
      <w:r w:rsidRPr="00F52D1E">
        <w:rPr>
          <w:lang w:val="fr-CA"/>
        </w:rPr>
        <w:t>je .</w:t>
      </w:r>
      <w:proofErr w:type="gramEnd"/>
      <w:r w:rsidRPr="00F52D1E">
        <w:rPr>
          <w:lang w:val="fr-CA"/>
        </w:rPr>
        <w:t> </w:t>
      </w:r>
      <w:r w:rsidR="009E2F25">
        <w:rPr>
          <w:lang w:val="fr-CA"/>
        </w:rPr>
        <w:t>. . juste que je comprenne, là.</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en-US"/>
        </w:rPr>
      </w:pPr>
      <w:r w:rsidRPr="00F52D1E">
        <w:rPr>
          <w:lang w:val="en-US"/>
        </w:rPr>
        <w:t>M</w:t>
      </w:r>
      <w:r w:rsidRPr="00F52D1E">
        <w:rPr>
          <w:vertAlign w:val="superscript"/>
          <w:lang w:val="en-US"/>
        </w:rPr>
        <w:t>e</w:t>
      </w:r>
      <w:r w:rsidR="009E2F25">
        <w:rPr>
          <w:lang w:val="en-US"/>
        </w:rPr>
        <w:t xml:space="preserve"> O’Reilly, Ad. </w:t>
      </w:r>
      <w:proofErr w:type="gramStart"/>
      <w:r w:rsidR="009E2F25">
        <w:rPr>
          <w:lang w:val="en-US"/>
        </w:rPr>
        <w:t>E. :</w:t>
      </w:r>
      <w:proofErr w:type="gramEnd"/>
      <w:r w:rsidR="009E2F25">
        <w:rPr>
          <w:lang w:val="en-US"/>
        </w:rPr>
        <w:t xml:space="preserve"> Oui.</w:t>
      </w:r>
    </w:p>
    <w:p w:rsidR="00CF3116" w:rsidRPr="00F52D1E" w:rsidRDefault="00CF3116" w:rsidP="00CF3116">
      <w:pPr>
        <w:pStyle w:val="Citation-AltC"/>
        <w:rPr>
          <w:lang w:val="en-US"/>
        </w:rPr>
      </w:pPr>
    </w:p>
    <w:p w:rsidR="00CF3116" w:rsidRPr="00F52D1E" w:rsidRDefault="00CF3116" w:rsidP="00CF3116">
      <w:pPr>
        <w:pStyle w:val="Citation-AltC"/>
        <w:ind w:firstLine="274"/>
        <w:rPr>
          <w:lang w:val="fr-CA"/>
        </w:rPr>
      </w:pPr>
      <w:r w:rsidRPr="00F52D1E">
        <w:rPr>
          <w:lang w:val="fr-CA"/>
        </w:rPr>
        <w:t>Monsieur le juge Gascon : Vous dites que, là, vous faites un recours en dommages contre IOC, contre QNS sur la base des violations de droits ancestraux, de titre ancestral. Si vous prenez dans cinq ans d’ici un recours cette fois</w:t>
      </w:r>
      <w:r w:rsidRPr="00F52D1E">
        <w:rPr>
          <w:lang w:val="fr-CA"/>
        </w:rPr>
        <w:noBreakHyphen/>
        <w:t>ci dirigé contre le gouvernement du Québec, le gouvernement du Canada puis le gouvernement de Terre</w:t>
      </w:r>
      <w:r w:rsidRPr="00F52D1E">
        <w:rPr>
          <w:lang w:val="fr-CA"/>
        </w:rPr>
        <w:noBreakHyphen/>
        <w:t>Neuve pour faire reconnaître vos droits et titres ancestraux, en quoi la preuve d’un va être diff</w:t>
      </w:r>
      <w:r w:rsidR="009E2F25">
        <w:rPr>
          <w:lang w:val="fr-CA"/>
        </w:rPr>
        <w:t>érente de la preuve de l’autre?</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w:t>
      </w:r>
      <w:r w:rsidRPr="00F52D1E">
        <w:rPr>
          <w:vertAlign w:val="superscript"/>
          <w:lang w:val="fr-CA"/>
        </w:rPr>
        <w:t>e</w:t>
      </w:r>
      <w:r w:rsidRPr="00F52D1E">
        <w:rPr>
          <w:lang w:val="fr-CA"/>
        </w:rPr>
        <w:t xml:space="preserve"> O’Reilly, Ad. E. : Bien, c’est parce qu’il y </w:t>
      </w:r>
      <w:proofErr w:type="gramStart"/>
      <w:r w:rsidRPr="00F52D1E">
        <w:rPr>
          <w:lang w:val="fr-CA"/>
        </w:rPr>
        <w:t>a .</w:t>
      </w:r>
      <w:proofErr w:type="gramEnd"/>
      <w:r w:rsidRPr="00F52D1E">
        <w:rPr>
          <w:lang w:val="fr-CA"/>
        </w:rPr>
        <w:t> . . il va falloir à ce moment</w:t>
      </w:r>
      <w:r w:rsidRPr="00F52D1E">
        <w:rPr>
          <w:lang w:val="fr-CA"/>
        </w:rPr>
        <w:noBreakHyphen/>
        <w:t>là aller dans le domaine constitutionnel et le test de la justification pour voir vraiment si on a porté atteinte. Et c’est là où va devenir très, très important le débat constitutionnel, selon moi. Al</w:t>
      </w:r>
      <w:r w:rsidR="009E2F25">
        <w:rPr>
          <w:lang w:val="fr-CA"/>
        </w:rPr>
        <w:t>ors, ça va être très différent.</w:t>
      </w:r>
    </w:p>
    <w:p w:rsidR="00CF3116" w:rsidRPr="00F52D1E" w:rsidRDefault="00CF3116" w:rsidP="00CF3116">
      <w:pPr>
        <w:pStyle w:val="Citation-AltC"/>
        <w:rPr>
          <w:lang w:val="fr-CA"/>
        </w:rPr>
      </w:pPr>
    </w:p>
    <w:p w:rsidR="00CF3116" w:rsidRPr="00F52D1E" w:rsidRDefault="00CF3116" w:rsidP="00CF3116">
      <w:pPr>
        <w:pStyle w:val="Citation-AltC"/>
        <w:ind w:firstLine="274"/>
        <w:rPr>
          <w:lang w:val="fr-CA"/>
        </w:rPr>
      </w:pPr>
      <w:r w:rsidRPr="00F52D1E">
        <w:rPr>
          <w:lang w:val="fr-CA"/>
        </w:rPr>
        <w:t>Mais, ici, tout ce qu’on essaie de faire, on dit : on a ciblé un groupe. Ce groupe</w:t>
      </w:r>
      <w:r w:rsidRPr="00F52D1E">
        <w:rPr>
          <w:lang w:val="fr-CA"/>
        </w:rPr>
        <w:noBreakHyphen/>
        <w:t>là, c’est IOC, c’est QNS&amp;L. On invoque le droit vis</w:t>
      </w:r>
      <w:r w:rsidRPr="00F52D1E">
        <w:rPr>
          <w:lang w:val="fr-CA"/>
        </w:rPr>
        <w:noBreakHyphen/>
        <w:t>à</w:t>
      </w:r>
      <w:r w:rsidRPr="00F52D1E">
        <w:rPr>
          <w:lang w:val="fr-CA"/>
        </w:rPr>
        <w:noBreakHyphen/>
        <w:t xml:space="preserve">vis eux seulement. Donc, on ne peut pas aller à l’encontre, par exemple, de Labrador City, de Nalcor. On ne peut pas dire aux compagnies forestières ou à toutes les compagnies qui opèrent ou tous les citoyens qui opèrent au </w:t>
      </w:r>
      <w:proofErr w:type="gramStart"/>
      <w:r w:rsidRPr="00F52D1E">
        <w:rPr>
          <w:lang w:val="fr-CA"/>
        </w:rPr>
        <w:t>Labrador .</w:t>
      </w:r>
      <w:proofErr w:type="gramEnd"/>
      <w:r w:rsidRPr="00F52D1E">
        <w:rPr>
          <w:lang w:val="fr-CA"/>
        </w:rPr>
        <w:t> . .</w:t>
      </w:r>
    </w:p>
    <w:p w:rsidR="00CF3116" w:rsidRPr="00F52D1E" w:rsidRDefault="00CF3116" w:rsidP="00CF3116">
      <w:pPr>
        <w:pStyle w:val="Citation-AltC"/>
        <w:rPr>
          <w:lang w:val="fr-CA"/>
        </w:rPr>
      </w:pPr>
    </w:p>
    <w:p w:rsidR="00CF3116" w:rsidRPr="00F52D1E" w:rsidRDefault="00CF3116" w:rsidP="001C31FE">
      <w:pPr>
        <w:pStyle w:val="Citation-AltC"/>
        <w:ind w:left="0"/>
        <w:rPr>
          <w:lang w:val="fr-CA"/>
        </w:rPr>
      </w:pPr>
      <w:r w:rsidRPr="00F52D1E">
        <w:rPr>
          <w:lang w:val="fr-CA"/>
        </w:rPr>
        <w:t>(</w:t>
      </w:r>
      <w:proofErr w:type="gramStart"/>
      <w:r w:rsidRPr="00F52D1E">
        <w:rPr>
          <w:lang w:val="fr-CA"/>
        </w:rPr>
        <w:t>transcription</w:t>
      </w:r>
      <w:proofErr w:type="gramEnd"/>
      <w:r w:rsidRPr="00F52D1E">
        <w:rPr>
          <w:lang w:val="fr-CA"/>
        </w:rPr>
        <w:t>, p. 86</w:t>
      </w:r>
      <w:r w:rsidRPr="00F52D1E">
        <w:rPr>
          <w:lang w:val="fr-CA"/>
        </w:rPr>
        <w:noBreakHyphen/>
        <w:t>88 et 107</w:t>
      </w:r>
      <w:r w:rsidRPr="00F52D1E">
        <w:rPr>
          <w:lang w:val="fr-CA"/>
        </w:rPr>
        <w:noBreakHyphen/>
        <w:t>108)</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Demande d’émission d’une injonction permanente</w:t>
      </w:r>
    </w:p>
    <w:p w:rsidR="00CF3116" w:rsidRPr="00F52D1E" w:rsidRDefault="00CF3116" w:rsidP="00CF3116">
      <w:pPr>
        <w:pStyle w:val="ParaNoNdepar-AltN"/>
        <w:rPr>
          <w:rFonts w:cs="Times New Roman"/>
          <w:lang w:val="fr-CA"/>
        </w:rPr>
      </w:pPr>
      <w:r w:rsidRPr="00F52D1E">
        <w:rPr>
          <w:rFonts w:cs="Times New Roman"/>
          <w:lang w:val="fr-CA"/>
        </w:rPr>
        <w:t xml:space="preserve">Dans leur requête introductive d’instance, les Innus demandent aussi l’émission d’une injonction permanente afin de faire cesser les opérations, installations et activités des défenderesses IOC et QNS&amp;L : </w:t>
      </w:r>
      <w:proofErr w:type="gramStart"/>
      <w:r w:rsidRPr="00F52D1E">
        <w:rPr>
          <w:rFonts w:cs="Times New Roman"/>
          <w:lang w:val="fr-CA"/>
        </w:rPr>
        <w:t>d.a.,</w:t>
      </w:r>
      <w:proofErr w:type="gramEnd"/>
      <w:r w:rsidRPr="00F52D1E">
        <w:rPr>
          <w:rFonts w:cs="Times New Roman"/>
          <w:lang w:val="fr-CA"/>
        </w:rPr>
        <w:t xml:space="preserve"> vol. II, p. 28</w:t>
      </w:r>
      <w:r w:rsidRPr="00F52D1E">
        <w:rPr>
          <w:rFonts w:cs="Times New Roman"/>
          <w:lang w:val="fr-CA"/>
        </w:rPr>
        <w:noBreakHyphen/>
        <w:t>30. Les conclusions pertinentes de la requête introductive d’instance se lisent comme suit :</w:t>
      </w:r>
    </w:p>
    <w:p w:rsidR="00CF3116" w:rsidRPr="00F52D1E" w:rsidRDefault="00CF3116" w:rsidP="00CF3116">
      <w:pPr>
        <w:pStyle w:val="Citation-AltC"/>
        <w:rPr>
          <w:lang w:val="fr-CA"/>
        </w:rPr>
      </w:pPr>
      <w:r w:rsidRPr="00F52D1E">
        <w:rPr>
          <w:b/>
          <w:lang w:val="fr-CA"/>
        </w:rPr>
        <w:lastRenderedPageBreak/>
        <w:t>RENDRE</w:t>
      </w:r>
      <w:r w:rsidRPr="00F52D1E">
        <w:rPr>
          <w:lang w:val="fr-CA"/>
        </w:rPr>
        <w:t xml:space="preserve"> une ordonnance d’injonction permanente enjoignant les défenderesses, leurs officiers, dirigeants, employés, agents et préposés et ceux agissant de concert avec elles de cesser toute activité reliée au mégaprojet d’IOC et en particulier l’exploitation minière dans le Nitassinan, y compris dans la région de Labrador City, et enjoignant les défenderesses de cesser leurs activités reliées au projet de Sept</w:t>
      </w:r>
      <w:r w:rsidRPr="00F52D1E">
        <w:rPr>
          <w:lang w:val="fr-CA"/>
        </w:rPr>
        <w:noBreakHyphen/>
        <w:t>Îles, au port de Sept</w:t>
      </w:r>
      <w:r w:rsidRPr="00F52D1E">
        <w:rPr>
          <w:lang w:val="fr-CA"/>
        </w:rPr>
        <w:noBreakHyphen/>
        <w:t xml:space="preserve">Îles </w:t>
      </w:r>
      <w:r w:rsidR="009E2F25">
        <w:rPr>
          <w:lang w:val="fr-CA"/>
        </w:rPr>
        <w:t>et dans la région de Sept</w:t>
      </w:r>
      <w:r w:rsidR="009E2F25">
        <w:rPr>
          <w:lang w:val="fr-CA"/>
        </w:rPr>
        <w:noBreakHyphen/>
        <w:t>Îles;</w:t>
      </w:r>
    </w:p>
    <w:p w:rsidR="00CF3116" w:rsidRPr="00F52D1E" w:rsidRDefault="00CF3116" w:rsidP="00CF3116">
      <w:pPr>
        <w:pStyle w:val="Citation-AltC"/>
        <w:rPr>
          <w:lang w:val="fr-CA"/>
        </w:rPr>
      </w:pPr>
    </w:p>
    <w:p w:rsidR="00CF3116" w:rsidRPr="00F52D1E" w:rsidRDefault="00CF3116" w:rsidP="00CF3116">
      <w:pPr>
        <w:pStyle w:val="Citation-AltC"/>
        <w:rPr>
          <w:lang w:val="fr-CA"/>
        </w:rPr>
      </w:pPr>
      <w:r w:rsidRPr="00F52D1E">
        <w:rPr>
          <w:b/>
          <w:lang w:val="fr-CA"/>
        </w:rPr>
        <w:t>RENDRE</w:t>
      </w:r>
      <w:r w:rsidRPr="00F52D1E">
        <w:rPr>
          <w:lang w:val="fr-CA"/>
        </w:rPr>
        <w:t xml:space="preserve"> une ordonnance d’injonction permanente enjoignant les défenderesses, leurs officiers, dirigeants, employés, agents et préposés et ceux agissant de concert avec elles de ne pas construire ou exploiter d’installations minières, industrielles, ferroviaires ou portuaires, et empêchant celles</w:t>
      </w:r>
      <w:r w:rsidRPr="00F52D1E">
        <w:rPr>
          <w:lang w:val="fr-CA"/>
        </w:rPr>
        <w:noBreakHyphen/>
        <w:t>ci de réaliser ou d’exploiter les installations minières, industrielles, ferroviaires et portuaires au Nitassinan et de cesser immédiatement, de se désister et de s’abstenir de réaliser tous les travaux, opérations ou activités liés à ces installations et tous les autres travaux s’y rattachant au Nitassinan, sauf en ce qui concerne le transport et la manutention par les défenderesses du minerai de fer et autres produits de Cliffs Natural Resources (Cliffs Québec), Labrador Iron Mines, Tata Steel Minerals Canada et,</w:t>
      </w:r>
      <w:r w:rsidR="009E2F25">
        <w:rPr>
          <w:lang w:val="fr-CA"/>
        </w:rPr>
        <w:t xml:space="preserve"> le cas échéant, ArcelorMittal;</w:t>
      </w:r>
    </w:p>
    <w:p w:rsidR="00CF3116" w:rsidRPr="00F52D1E" w:rsidRDefault="00CF3116" w:rsidP="00CF3116">
      <w:pPr>
        <w:pStyle w:val="Citation-AltC"/>
        <w:rPr>
          <w:lang w:val="fr-CA"/>
        </w:rPr>
      </w:pPr>
    </w:p>
    <w:p w:rsidR="00CF3116" w:rsidRPr="00F52D1E" w:rsidRDefault="00CF3116" w:rsidP="00CF3116">
      <w:pPr>
        <w:pStyle w:val="Citation-AltC"/>
        <w:rPr>
          <w:lang w:val="fr-CA"/>
        </w:rPr>
      </w:pPr>
      <w:r w:rsidRPr="00F52D1E">
        <w:rPr>
          <w:b/>
          <w:lang w:val="fr-CA"/>
        </w:rPr>
        <w:t>RENDRE</w:t>
      </w:r>
      <w:r w:rsidRPr="00F52D1E">
        <w:rPr>
          <w:lang w:val="fr-CA"/>
        </w:rPr>
        <w:t xml:space="preserve"> une ordonnance d’injonction permanente enjoignant les défenderesses de ne pas entraver de quelque manière que ce soit l’exercice par les demandeurs de leurs droits et qu’elles soient également empêchées de causer des dommages à l’environnement et aux ressources naturelles situées dans le Nitassinan; [p. 32</w:t>
      </w:r>
      <w:r w:rsidRPr="00F52D1E">
        <w:rPr>
          <w:lang w:val="fr-CA"/>
        </w:rPr>
        <w:noBreakHyphen/>
        <w:t>33]</w:t>
      </w:r>
    </w:p>
    <w:p w:rsidR="00CF3116" w:rsidRPr="00F52D1E" w:rsidRDefault="00CF3116" w:rsidP="00CF3116">
      <w:pPr>
        <w:pStyle w:val="ParaNoNdepar-AltN"/>
        <w:rPr>
          <w:rFonts w:cs="Times New Roman"/>
          <w:lang w:val="fr-CA"/>
        </w:rPr>
      </w:pPr>
      <w:r w:rsidRPr="00F52D1E">
        <w:rPr>
          <w:rFonts w:cs="Times New Roman"/>
          <w:lang w:val="fr-CA"/>
        </w:rPr>
        <w:t xml:space="preserve">Ces demandes sont aussi de nature réelle, puisqu’elles visent manifestement à « protéger » un titre ancestral et d’autres droits ancestraux ou issus de traités, lesquels sont des droits réels aux fins du droit international privé. En droit québécois, l’injonction est le « véhicule procédural approprié pour faire valoir son droit » : </w:t>
      </w:r>
      <w:r w:rsidRPr="00F52D1E">
        <w:rPr>
          <w:rFonts w:cs="Times New Roman"/>
          <w:i/>
          <w:lang w:val="fr-CA"/>
        </w:rPr>
        <w:t>Oerlikon Aerospatiale inc. c. Ouellette</w:t>
      </w:r>
      <w:r w:rsidRPr="00F52D1E">
        <w:rPr>
          <w:rFonts w:cs="Times New Roman"/>
          <w:lang w:val="fr-CA"/>
        </w:rPr>
        <w:t>, [1989] R.J.Q. 2680 (C.A.), p. 2686; voir aussi, au même effet, P.</w:t>
      </w:r>
      <w:r w:rsidRPr="00F52D1E">
        <w:rPr>
          <w:rFonts w:cs="Times New Roman"/>
          <w:lang w:val="fr-CA"/>
        </w:rPr>
        <w:noBreakHyphen/>
        <w:t xml:space="preserve">A. Gendreau et autres, </w:t>
      </w:r>
      <w:r w:rsidRPr="00F52D1E">
        <w:rPr>
          <w:rFonts w:cs="Times New Roman"/>
          <w:i/>
          <w:lang w:val="fr-CA"/>
        </w:rPr>
        <w:t>L’injonction</w:t>
      </w:r>
      <w:r w:rsidRPr="00F52D1E">
        <w:rPr>
          <w:rFonts w:cs="Times New Roman"/>
          <w:lang w:val="fr-CA"/>
        </w:rPr>
        <w:t xml:space="preserve"> (1998), p. 295; C. Belleau et autres, </w:t>
      </w:r>
      <w:r w:rsidRPr="00F52D1E">
        <w:rPr>
          <w:rFonts w:cs="Times New Roman"/>
          <w:i/>
          <w:lang w:val="fr-CA"/>
        </w:rPr>
        <w:t>Précis de procédure civile du Québec</w:t>
      </w:r>
      <w:r w:rsidRPr="00F52D1E">
        <w:rPr>
          <w:rFonts w:cs="Times New Roman"/>
          <w:lang w:val="fr-CA"/>
        </w:rPr>
        <w:t xml:space="preserve"> (4</w:t>
      </w:r>
      <w:r w:rsidRPr="00F52D1E">
        <w:rPr>
          <w:rFonts w:cs="Times New Roman"/>
          <w:vertAlign w:val="superscript"/>
          <w:lang w:val="fr-CA"/>
        </w:rPr>
        <w:t>e</w:t>
      </w:r>
      <w:r w:rsidRPr="00F52D1E">
        <w:rPr>
          <w:rFonts w:cs="Times New Roman"/>
          <w:lang w:val="fr-CA"/>
        </w:rPr>
        <w:t xml:space="preserve"> éd. 2003), vol. 2, par D. Ferland et B. Emery, </w:t>
      </w:r>
      <w:proofErr w:type="gramStart"/>
      <w:r w:rsidRPr="00F52D1E">
        <w:rPr>
          <w:rFonts w:cs="Times New Roman"/>
          <w:lang w:val="fr-CA"/>
        </w:rPr>
        <w:t>dir.,</w:t>
      </w:r>
      <w:proofErr w:type="gramEnd"/>
      <w:r w:rsidRPr="00F52D1E">
        <w:rPr>
          <w:rFonts w:cs="Times New Roman"/>
          <w:lang w:val="fr-CA"/>
        </w:rPr>
        <w:t xml:space="preserve"> p. 444 ; </w:t>
      </w:r>
      <w:r w:rsidRPr="00F52D1E">
        <w:rPr>
          <w:rFonts w:cs="Times New Roman"/>
          <w:i/>
          <w:lang w:val="fr-CA"/>
        </w:rPr>
        <w:t>Crawford c. Fitch</w:t>
      </w:r>
      <w:r w:rsidRPr="00F52D1E">
        <w:rPr>
          <w:rFonts w:cs="Times New Roman"/>
          <w:lang w:val="fr-CA"/>
        </w:rPr>
        <w:t xml:space="preserve">, [1980] C.A. 583, p. 585; </w:t>
      </w:r>
      <w:r w:rsidRPr="00F52D1E">
        <w:rPr>
          <w:rFonts w:cs="Times New Roman"/>
          <w:i/>
          <w:lang w:val="fr-CA"/>
        </w:rPr>
        <w:t>Société minière Louvem inc. c. Aur Resources Inc.</w:t>
      </w:r>
      <w:r w:rsidRPr="00F52D1E">
        <w:rPr>
          <w:rFonts w:cs="Times New Roman"/>
          <w:lang w:val="fr-CA"/>
        </w:rPr>
        <w:t xml:space="preserve">, [1990] R.J.Q. 772 (C.S.); </w:t>
      </w:r>
      <w:r w:rsidRPr="00F52D1E">
        <w:rPr>
          <w:rFonts w:cs="Times New Roman"/>
          <w:i/>
          <w:lang w:val="fr-CA"/>
        </w:rPr>
        <w:t>Plouffe c. Dufour</w:t>
      </w:r>
      <w:r w:rsidRPr="00F52D1E">
        <w:rPr>
          <w:rFonts w:cs="Times New Roman"/>
          <w:lang w:val="fr-CA"/>
        </w:rPr>
        <w:t xml:space="preserve">, [1992] R.J.Q. 47 (C.S.); </w:t>
      </w:r>
      <w:r w:rsidRPr="00F52D1E">
        <w:rPr>
          <w:rFonts w:cs="Times New Roman"/>
          <w:i/>
          <w:lang w:val="fr-CA"/>
        </w:rPr>
        <w:t>2848</w:t>
      </w:r>
      <w:r w:rsidRPr="00F52D1E">
        <w:rPr>
          <w:rFonts w:cs="Times New Roman"/>
          <w:i/>
          <w:lang w:val="fr-CA"/>
        </w:rPr>
        <w:noBreakHyphen/>
        <w:t>2883 Québec inc. c. Tomiuk</w:t>
      </w:r>
      <w:r w:rsidRPr="00F52D1E">
        <w:rPr>
          <w:rFonts w:cs="Times New Roman"/>
          <w:lang w:val="fr-CA"/>
        </w:rPr>
        <w:t xml:space="preserve">, [1993] R.D.J. 400 (C.A.). En fait, « en droit québécois, des actions réelles diverses (actions en </w:t>
      </w:r>
      <w:r w:rsidRPr="00F52D1E">
        <w:rPr>
          <w:rFonts w:cs="Times New Roman"/>
          <w:lang w:val="fr-CA"/>
        </w:rPr>
        <w:lastRenderedPageBreak/>
        <w:t xml:space="preserve">revendication, actions confessoires, négatoires et même possessoires) se voient [souvent] adjoindre une requête [en injonction visant la suppression de l’emprise </w:t>
      </w:r>
      <w:r w:rsidR="009E2F25">
        <w:rPr>
          <w:rFonts w:cs="Times New Roman"/>
          <w:lang w:val="fr-CA"/>
        </w:rPr>
        <w:t>illicite] » : Debruche, p. 514.</w:t>
      </w:r>
    </w:p>
    <w:p w:rsidR="00CF3116" w:rsidRPr="00F52D1E" w:rsidRDefault="00CF3116" w:rsidP="00CF3116">
      <w:pPr>
        <w:pStyle w:val="ParaNoNdepar-AltN"/>
        <w:rPr>
          <w:rFonts w:cs="Times New Roman"/>
          <w:lang w:val="fr-CA"/>
        </w:rPr>
      </w:pPr>
      <w:r w:rsidRPr="00F52D1E">
        <w:rPr>
          <w:rFonts w:cs="Times New Roman"/>
          <w:lang w:val="fr-CA"/>
        </w:rPr>
        <w:t xml:space="preserve">Ainsi, selon l’art. 3152 </w:t>
      </w:r>
      <w:r w:rsidRPr="00F52D1E">
        <w:rPr>
          <w:rFonts w:cs="Times New Roman"/>
          <w:i/>
          <w:lang w:val="fr-CA"/>
        </w:rPr>
        <w:t>C.c.Q.</w:t>
      </w:r>
      <w:r w:rsidRPr="00F52D1E">
        <w:rPr>
          <w:rFonts w:cs="Times New Roman"/>
          <w:lang w:val="fr-CA"/>
        </w:rPr>
        <w:t xml:space="preserve">, un tribunal ne peut faire droit à une demande d’émission d’une injonction permanente relativement à un immeuble situé à l’extérieur de la province : voir, par exemple, </w:t>
      </w:r>
      <w:r w:rsidRPr="00F52D1E">
        <w:rPr>
          <w:rFonts w:cs="Times New Roman"/>
          <w:i/>
          <w:lang w:val="fr-CA"/>
        </w:rPr>
        <w:t>CGAO</w:t>
      </w:r>
      <w:r w:rsidRPr="00F52D1E">
        <w:rPr>
          <w:rFonts w:cs="Times New Roman"/>
          <w:lang w:val="fr-CA"/>
        </w:rPr>
        <w:t xml:space="preserve">, par. 8 et 11; </w:t>
      </w:r>
      <w:r w:rsidRPr="00F52D1E">
        <w:rPr>
          <w:rFonts w:cs="Times New Roman"/>
          <w:i/>
          <w:lang w:val="fr-CA"/>
        </w:rPr>
        <w:t>Khan Resources Inc.</w:t>
      </w:r>
      <w:r w:rsidRPr="00F52D1E">
        <w:rPr>
          <w:rFonts w:cs="Times New Roman"/>
          <w:lang w:val="fr-CA"/>
        </w:rPr>
        <w:t xml:space="preserve">, par. 19 et 24; voir aussi, à ce sujet, Pitel </w:t>
      </w:r>
      <w:r w:rsidR="009E2F25">
        <w:rPr>
          <w:rFonts w:cs="Times New Roman"/>
          <w:lang w:val="fr-CA"/>
        </w:rPr>
        <w:t>et Rafferty, p. 91</w:t>
      </w:r>
      <w:r w:rsidR="009E2F25">
        <w:rPr>
          <w:rFonts w:cs="Times New Roman"/>
          <w:lang w:val="fr-CA"/>
        </w:rPr>
        <w:noBreakHyphen/>
        <w:t>92.</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Demande de dommages</w:t>
      </w:r>
      <w:r w:rsidRPr="00F52D1E">
        <w:rPr>
          <w:rFonts w:cs="Times New Roman"/>
          <w:lang w:val="fr-CA"/>
        </w:rPr>
        <w:noBreakHyphen/>
        <w:t>intérêts</w:t>
      </w:r>
    </w:p>
    <w:p w:rsidR="00CF3116" w:rsidRPr="00F52D1E" w:rsidRDefault="00CF3116" w:rsidP="00CF3116">
      <w:pPr>
        <w:pStyle w:val="ParaNoNdepar-AltN"/>
        <w:rPr>
          <w:rFonts w:cs="Times New Roman"/>
          <w:lang w:val="fr-CA"/>
        </w:rPr>
      </w:pPr>
      <w:r w:rsidRPr="00F52D1E">
        <w:rPr>
          <w:rFonts w:cs="Times New Roman"/>
          <w:lang w:val="fr-CA"/>
        </w:rPr>
        <w:t>Dans leur requête introductive d’instance, les Innus demandent également la condamnation solidaire des défenderesses IOC et QNS&amp;L au paiement de 900 millions de dollars à titre de dommages</w:t>
      </w:r>
      <w:r w:rsidRPr="00F52D1E">
        <w:rPr>
          <w:rFonts w:cs="Times New Roman"/>
          <w:lang w:val="fr-CA"/>
        </w:rPr>
        <w:noBreakHyphen/>
        <w:t xml:space="preserve">intérêts : </w:t>
      </w:r>
      <w:proofErr w:type="gramStart"/>
      <w:r w:rsidRPr="00F52D1E">
        <w:rPr>
          <w:rFonts w:cs="Times New Roman"/>
          <w:lang w:val="fr-CA"/>
        </w:rPr>
        <w:t>d.a.,</w:t>
      </w:r>
      <w:proofErr w:type="gramEnd"/>
      <w:r w:rsidRPr="00F52D1E">
        <w:rPr>
          <w:rFonts w:cs="Times New Roman"/>
          <w:lang w:val="fr-CA"/>
        </w:rPr>
        <w:t xml:space="preserve"> vol. II, p. 28 et 30</w:t>
      </w:r>
      <w:r w:rsidRPr="00F52D1E">
        <w:rPr>
          <w:rFonts w:cs="Times New Roman"/>
          <w:lang w:val="fr-CA"/>
        </w:rPr>
        <w:noBreakHyphen/>
        <w:t xml:space="preserve">31. D’une part, les Innus affirment que la violation par les défenderesses du titre ancestral et des autres droits ancestraux ou issus de traités qu’ils estiment détenir sur le Nitassinan constitue une faute civile visée à l’art. 1457 </w:t>
      </w:r>
      <w:r w:rsidRPr="00F52D1E">
        <w:rPr>
          <w:rFonts w:cs="Times New Roman"/>
          <w:i/>
          <w:lang w:val="fr-CA"/>
        </w:rPr>
        <w:t>C.c.Q.</w:t>
      </w:r>
      <w:r w:rsidRPr="00F52D1E">
        <w:rPr>
          <w:rFonts w:cs="Times New Roman"/>
          <w:lang w:val="fr-CA"/>
        </w:rPr>
        <w:t> : p. 24</w:t>
      </w:r>
      <w:r w:rsidRPr="00F52D1E">
        <w:rPr>
          <w:rFonts w:cs="Times New Roman"/>
          <w:lang w:val="fr-CA"/>
        </w:rPr>
        <w:noBreakHyphen/>
        <w:t xml:space="preserve">28. D’autre part, ils se fondent sur la responsabilité sans faute visée à l’art. 976 </w:t>
      </w:r>
      <w:r w:rsidRPr="00F52D1E">
        <w:rPr>
          <w:rFonts w:cs="Times New Roman"/>
          <w:i/>
          <w:lang w:val="fr-CA"/>
        </w:rPr>
        <w:t>C.c.Q.</w:t>
      </w:r>
      <w:r w:rsidRPr="00F52D1E">
        <w:rPr>
          <w:rFonts w:cs="Times New Roman"/>
          <w:lang w:val="fr-CA"/>
        </w:rPr>
        <w:t xml:space="preserve"> en matière de troubles de voisinage : p. 28</w:t>
      </w:r>
      <w:r w:rsidRPr="00F52D1E">
        <w:rPr>
          <w:rFonts w:cs="Times New Roman"/>
          <w:lang w:val="fr-CA"/>
        </w:rPr>
        <w:noBreakHyphen/>
        <w:t>29.</w:t>
      </w:r>
    </w:p>
    <w:p w:rsidR="00CF3116" w:rsidRPr="00F52D1E" w:rsidRDefault="00CF3116" w:rsidP="00CF3116">
      <w:pPr>
        <w:pStyle w:val="Title5LevelTitre5Niveau"/>
        <w:tabs>
          <w:tab w:val="num" w:pos="1080"/>
        </w:tabs>
        <w:ind w:left="1080" w:hanging="450"/>
        <w:jc w:val="both"/>
        <w:rPr>
          <w:rFonts w:cs="Times New Roman"/>
          <w:lang w:val="fr-CA"/>
        </w:rPr>
      </w:pPr>
      <w:r w:rsidRPr="00F52D1E">
        <w:rPr>
          <w:rFonts w:cs="Times New Roman"/>
          <w:lang w:val="fr-CA"/>
        </w:rPr>
        <w:t>La demande de dommages</w:t>
      </w:r>
      <w:r w:rsidRPr="00F52D1E">
        <w:rPr>
          <w:rFonts w:cs="Times New Roman"/>
          <w:lang w:val="fr-CA"/>
        </w:rPr>
        <w:noBreakHyphen/>
        <w:t>intérêts fondée sur l’allégation d’une violation par les défenderesses IOC et QNS&amp;L du titre ancestral et des autres droits ancestraux ou issus de traités quant au territoire situé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(art. 1457 </w:t>
      </w:r>
      <w:r w:rsidRPr="00F52D1E">
        <w:rPr>
          <w:rFonts w:cs="Times New Roman"/>
          <w:i/>
          <w:lang w:val="fr-CA"/>
        </w:rPr>
        <w:t>C.c.Q.</w:t>
      </w:r>
      <w:r w:rsidRPr="00F52D1E">
        <w:rPr>
          <w:rFonts w:cs="Times New Roman"/>
          <w:lang w:val="fr-CA"/>
        </w:rPr>
        <w:t>)</w:t>
      </w:r>
    </w:p>
    <w:p w:rsidR="00CF3116" w:rsidRPr="00F52D1E" w:rsidRDefault="00CF3116" w:rsidP="00CF3116">
      <w:pPr>
        <w:pStyle w:val="ParaNoNdepar-AltN"/>
        <w:rPr>
          <w:rFonts w:cs="Times New Roman"/>
          <w:lang w:val="fr-CA"/>
        </w:rPr>
      </w:pPr>
      <w:r w:rsidRPr="00F52D1E">
        <w:rPr>
          <w:rFonts w:cs="Times New Roman"/>
          <w:lang w:val="fr-CA"/>
        </w:rPr>
        <w:t>Le PGTNL conteste la compétence des autorités québécoises à l’égard de la demande de dommages</w:t>
      </w:r>
      <w:r w:rsidRPr="00F52D1E">
        <w:rPr>
          <w:rFonts w:cs="Times New Roman"/>
          <w:lang w:val="fr-CA"/>
        </w:rPr>
        <w:noBreakHyphen/>
        <w:t xml:space="preserve">intérêts fondée sur l’allégation d’une violation du titre </w:t>
      </w:r>
      <w:r w:rsidRPr="00F52D1E">
        <w:rPr>
          <w:rFonts w:cs="Times New Roman"/>
          <w:lang w:val="fr-CA"/>
        </w:rPr>
        <w:lastRenderedPageBreak/>
        <w:t>ancestral et des autres droits ancestraux ou issus de traités quant à la partie du Nitassinan située à l’extérieur du Qu</w:t>
      </w:r>
      <w:r w:rsidR="009E2F25">
        <w:rPr>
          <w:rFonts w:cs="Times New Roman"/>
          <w:lang w:val="fr-CA"/>
        </w:rPr>
        <w:t>ébec : transcription, p. 11</w:t>
      </w:r>
      <w:r w:rsidR="009E2F25">
        <w:rPr>
          <w:rFonts w:cs="Times New Roman"/>
          <w:lang w:val="fr-CA"/>
        </w:rPr>
        <w:noBreakHyphen/>
        <w:t>13.</w:t>
      </w:r>
    </w:p>
    <w:p w:rsidR="00CF3116" w:rsidRPr="00F52D1E" w:rsidRDefault="00CF3116" w:rsidP="00CF3116">
      <w:pPr>
        <w:pStyle w:val="ParaNoNdepar-AltN"/>
        <w:rPr>
          <w:rFonts w:cs="Times New Roman"/>
          <w:lang w:val="fr-CA"/>
        </w:rPr>
      </w:pPr>
      <w:r w:rsidRPr="00F52D1E">
        <w:rPr>
          <w:rFonts w:cs="Times New Roman"/>
          <w:lang w:val="fr-CA"/>
        </w:rPr>
        <w:t>En l’espèce, la demande de dommages</w:t>
      </w:r>
      <w:r w:rsidRPr="00F52D1E">
        <w:rPr>
          <w:rFonts w:cs="Times New Roman"/>
          <w:lang w:val="fr-CA"/>
        </w:rPr>
        <w:noBreakHyphen/>
        <w:t xml:space="preserve">intérêts dirigée contre les défenderesses IOC et QNS&amp;L — dans la mesure où elle repose sur la violation alléguée du titre ancestral et des autres droits ancestraux ou issus de traités dont les Innus prétendent être titulaires sur le Nitassinan — ne peut être accueillie </w:t>
      </w:r>
      <w:r w:rsidRPr="00F52D1E">
        <w:rPr>
          <w:rFonts w:cs="Times New Roman"/>
          <w:i/>
          <w:lang w:val="fr-CA"/>
        </w:rPr>
        <w:t>que si</w:t>
      </w:r>
      <w:r w:rsidRPr="00F52D1E">
        <w:rPr>
          <w:rFonts w:cs="Times New Roman"/>
          <w:lang w:val="fr-CA"/>
        </w:rPr>
        <w:t xml:space="preserve"> les Innus parviennent à faire reconnaître ce titre ancestral et ces autres droits ancestraux ou issus de traités sur le Nitassinan. Les juridictions inférieures l’ont noté </w:t>
      </w:r>
      <w:r w:rsidRPr="00F52D1E">
        <w:rPr>
          <w:rFonts w:cs="Times New Roman"/>
          <w:i/>
          <w:lang w:val="fr-CA"/>
        </w:rPr>
        <w:t>et les Innus</w:t>
      </w:r>
      <w:r w:rsidRPr="00F52D1E">
        <w:rPr>
          <w:rFonts w:cs="Times New Roman"/>
          <w:lang w:val="fr-CA"/>
        </w:rPr>
        <w:t xml:space="preserve"> l’ont admis à juste titre : motifs de la C.S., par. 77; motifs de la C.A., par. 90; jugement de la C.S. autorisant l’intervention du PGTNL</w:t>
      </w:r>
      <w:r w:rsidR="009E2F25">
        <w:rPr>
          <w:rFonts w:cs="Times New Roman"/>
          <w:lang w:val="fr-CA"/>
        </w:rPr>
        <w:t xml:space="preserve">, par. 67; </w:t>
      </w:r>
      <w:proofErr w:type="gramStart"/>
      <w:r w:rsidR="009E2F25">
        <w:rPr>
          <w:rFonts w:cs="Times New Roman"/>
          <w:lang w:val="fr-CA"/>
        </w:rPr>
        <w:t>m.i.,</w:t>
      </w:r>
      <w:proofErr w:type="gramEnd"/>
      <w:r w:rsidR="009E2F25">
        <w:rPr>
          <w:rFonts w:cs="Times New Roman"/>
          <w:lang w:val="fr-CA"/>
        </w:rPr>
        <w:t xml:space="preserve"> par. 73 et 82.</w:t>
      </w:r>
    </w:p>
    <w:p w:rsidR="00CF3116" w:rsidRPr="00F52D1E" w:rsidRDefault="00CF3116" w:rsidP="00CF3116">
      <w:pPr>
        <w:pStyle w:val="ParaNoNdepar-AltN"/>
        <w:rPr>
          <w:rFonts w:cs="Times New Roman"/>
          <w:lang w:val="fr-CA"/>
        </w:rPr>
      </w:pPr>
      <w:r w:rsidRPr="00F52D1E">
        <w:rPr>
          <w:rFonts w:cs="Times New Roman"/>
          <w:lang w:val="fr-CA"/>
        </w:rPr>
        <w:t xml:space="preserve">En principe, une action en responsabilité civile est une action personnelle. En l’espèce, le volet personnel de l’action des Innus est intimement lié à son volet réel, car le succès du volet personnel </w:t>
      </w:r>
      <w:r w:rsidRPr="00F52D1E">
        <w:rPr>
          <w:rFonts w:cs="Times New Roman"/>
          <w:i/>
          <w:lang w:val="fr-CA"/>
        </w:rPr>
        <w:t>dépend</w:t>
      </w:r>
      <w:r w:rsidRPr="00F52D1E">
        <w:rPr>
          <w:rFonts w:cs="Times New Roman"/>
          <w:lang w:val="fr-CA"/>
        </w:rPr>
        <w:t xml:space="preserve"> du succès du volet réel.</w:t>
      </w:r>
    </w:p>
    <w:p w:rsidR="00CF3116" w:rsidRPr="00F52D1E" w:rsidRDefault="00CF3116" w:rsidP="00CF3116">
      <w:pPr>
        <w:pStyle w:val="ParaNoNdepar-AltN"/>
        <w:rPr>
          <w:rFonts w:cs="Times New Roman"/>
          <w:lang w:val="en-US"/>
        </w:rPr>
      </w:pPr>
      <w:r w:rsidRPr="00F52D1E">
        <w:rPr>
          <w:rFonts w:cs="Times New Roman"/>
          <w:lang w:val="fr-CA"/>
        </w:rPr>
        <w:t>Même si le volet personnel de l’action des Innus « demeure régi par les règles traditionnelles de la responsabilité civile » (</w:t>
      </w:r>
      <w:r w:rsidRPr="00F52D1E">
        <w:rPr>
          <w:rFonts w:cs="Times New Roman"/>
          <w:i/>
          <w:lang w:val="fr-CA"/>
        </w:rPr>
        <w:t>Laflamme c. Groupe Norplex inc.</w:t>
      </w:r>
      <w:r w:rsidRPr="00F52D1E">
        <w:rPr>
          <w:rFonts w:cs="Times New Roman"/>
          <w:lang w:val="fr-CA"/>
        </w:rPr>
        <w:t xml:space="preserve">, 2017 QCCA 1459, par. 48 (CanLII)), ce volet ne peut réussir </w:t>
      </w:r>
      <w:r w:rsidRPr="00F52D1E">
        <w:rPr>
          <w:rFonts w:cs="Times New Roman"/>
          <w:i/>
          <w:lang w:val="fr-CA"/>
        </w:rPr>
        <w:t>que si</w:t>
      </w:r>
      <w:r w:rsidRPr="00F52D1E">
        <w:rPr>
          <w:rFonts w:cs="Times New Roman"/>
          <w:lang w:val="fr-CA"/>
        </w:rPr>
        <w:t xml:space="preserve"> les Innus parviennent à faire reconnaître un titre ancestral ou d’autres droits ancestraux ou issus de traités sur le Nitassinan, y compris sur les parties de ce territoire qui sont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Or, les autorités québécoises n’ont précisément pas la compétence requise pour entendre une action visant à faire reconnaître un titre ancestral ou d’autres droits ancestraux ou issus de traités sur des terres qui ne sont pas situées au Québec. Il s’ensuit nécessairement que, dans l’état actuel des choses, les autorités </w:t>
      </w:r>
      <w:r w:rsidRPr="00F52D1E">
        <w:rPr>
          <w:rFonts w:cs="Times New Roman"/>
          <w:lang w:val="fr-CA"/>
        </w:rPr>
        <w:lastRenderedPageBreak/>
        <w:t>québécoises doivent à tout le moins suspendre l’instance sur ce point jusqu’à ce qu’une autorité compétente ait reconnu l’existence de ces droits sur les parties du Nitassinan qui sont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 art. 3152 </w:t>
      </w:r>
      <w:r w:rsidRPr="00F52D1E">
        <w:rPr>
          <w:rFonts w:cs="Times New Roman"/>
          <w:i/>
          <w:lang w:val="fr-CA"/>
        </w:rPr>
        <w:t>C.c.Q.</w:t>
      </w:r>
      <w:r w:rsidRPr="00F52D1E">
        <w:rPr>
          <w:rFonts w:cs="Times New Roman"/>
          <w:lang w:val="fr-CA"/>
        </w:rPr>
        <w:t>; Walker, p. 23</w:t>
      </w:r>
      <w:r w:rsidRPr="00F52D1E">
        <w:rPr>
          <w:rFonts w:cs="Times New Roman"/>
          <w:lang w:val="fr-CA"/>
        </w:rPr>
        <w:noBreakHyphen/>
        <w:t xml:space="preserve">1, référant à </w:t>
      </w:r>
      <w:r w:rsidRPr="00F52D1E">
        <w:rPr>
          <w:rFonts w:cs="Times New Roman"/>
          <w:i/>
          <w:lang w:val="fr-CA"/>
        </w:rPr>
        <w:t xml:space="preserve">Montagne Laramee Developments Inc. c. Creit Properties Inc. </w:t>
      </w:r>
      <w:r w:rsidRPr="00F52D1E">
        <w:rPr>
          <w:rFonts w:cs="Times New Roman"/>
          <w:lang w:val="en-US"/>
        </w:rPr>
        <w:t>(2000), 47 O.R. (3d) 729 (C.S.J.)</w:t>
      </w:r>
      <w:r w:rsidR="00C05B8D">
        <w:rPr>
          <w:rFonts w:cs="Times New Roman"/>
          <w:lang w:val="en-US"/>
        </w:rPr>
        <w:t>,</w:t>
      </w:r>
      <w:r w:rsidRPr="00F52D1E">
        <w:rPr>
          <w:rFonts w:cs="Times New Roman"/>
          <w:lang w:val="en-US"/>
        </w:rPr>
        <w:t xml:space="preserve"> et à </w:t>
      </w:r>
      <w:r w:rsidRPr="00F52D1E">
        <w:rPr>
          <w:rFonts w:cs="Times New Roman"/>
          <w:i/>
          <w:lang w:val="en-US"/>
        </w:rPr>
        <w:t>Design Recovery Inc. c. Schneider</w:t>
      </w:r>
      <w:r w:rsidRPr="00F52D1E">
        <w:rPr>
          <w:rFonts w:cs="Times New Roman"/>
          <w:lang w:val="en-US"/>
        </w:rPr>
        <w:t>, 2003 SKCA 94, 238 Sask. R. 212.</w:t>
      </w:r>
    </w:p>
    <w:p w:rsidR="00CF3116" w:rsidRPr="00F52D1E" w:rsidRDefault="00CF3116" w:rsidP="00CF3116">
      <w:pPr>
        <w:pStyle w:val="Title5LevelTitre5Niveau"/>
        <w:tabs>
          <w:tab w:val="num" w:pos="1080"/>
        </w:tabs>
        <w:ind w:left="1080" w:hanging="450"/>
        <w:jc w:val="both"/>
        <w:rPr>
          <w:rFonts w:cs="Times New Roman"/>
          <w:lang w:val="fr-CA"/>
        </w:rPr>
      </w:pPr>
      <w:r w:rsidRPr="00F52D1E">
        <w:rPr>
          <w:rFonts w:cs="Times New Roman"/>
          <w:lang w:val="fr-CA"/>
        </w:rPr>
        <w:t>Demande de dommages</w:t>
      </w:r>
      <w:r w:rsidRPr="00F52D1E">
        <w:rPr>
          <w:rFonts w:cs="Times New Roman"/>
          <w:lang w:val="fr-CA"/>
        </w:rPr>
        <w:noBreakHyphen/>
        <w:t>intérêts fondée sur les troubles de voisinage subis au Québec, mais causés par des gestes posés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(art. 976 </w:t>
      </w:r>
      <w:r w:rsidRPr="00F52D1E">
        <w:rPr>
          <w:rFonts w:cs="Times New Roman"/>
          <w:i/>
          <w:lang w:val="fr-CA"/>
        </w:rPr>
        <w:t>C.c.Q.</w:t>
      </w:r>
      <w:r w:rsidRPr="00F52D1E">
        <w:rPr>
          <w:rFonts w:cs="Times New Roman"/>
          <w:lang w:val="fr-CA"/>
        </w:rPr>
        <w:t>)</w:t>
      </w:r>
    </w:p>
    <w:p w:rsidR="00CF3116" w:rsidRPr="00F52D1E" w:rsidRDefault="00CF3116" w:rsidP="00CF3116">
      <w:pPr>
        <w:pStyle w:val="ParaNoNdepar-AltN"/>
        <w:rPr>
          <w:rFonts w:cs="Times New Roman"/>
          <w:lang w:val="fr-CA"/>
        </w:rPr>
      </w:pPr>
      <w:r w:rsidRPr="00F52D1E">
        <w:rPr>
          <w:rFonts w:cs="Times New Roman"/>
          <w:lang w:val="fr-CA"/>
        </w:rPr>
        <w:t>Avec raison, le PGTNL ne conteste pas la compétence des autorités québécoises à l’égard de la demande de dommages</w:t>
      </w:r>
      <w:r w:rsidRPr="00F52D1E">
        <w:rPr>
          <w:rFonts w:cs="Times New Roman"/>
          <w:lang w:val="fr-CA"/>
        </w:rPr>
        <w:noBreakHyphen/>
        <w:t xml:space="preserve">intérêts fondée sur les troubles de voisinage que les Innus auraient subis </w:t>
      </w:r>
      <w:r w:rsidRPr="00F52D1E">
        <w:rPr>
          <w:rFonts w:cs="Times New Roman"/>
          <w:i/>
          <w:lang w:val="fr-CA"/>
        </w:rPr>
        <w:t>au Québec</w:t>
      </w:r>
      <w:r w:rsidRPr="00F52D1E">
        <w:rPr>
          <w:rFonts w:cs="Times New Roman"/>
          <w:lang w:val="fr-CA"/>
        </w:rPr>
        <w:t xml:space="preserve"> en raison des gestes posés par les défenderesses IOC et QNS&amp;L </w:t>
      </w:r>
      <w:r w:rsidRPr="00F52D1E">
        <w:rPr>
          <w:rFonts w:cs="Times New Roman"/>
          <w:i/>
          <w:lang w:val="fr-CA"/>
        </w:rPr>
        <w:t>à Terre</w:t>
      </w:r>
      <w:r w:rsidRPr="00F52D1E">
        <w:rPr>
          <w:rFonts w:cs="Times New Roman"/>
          <w:i/>
          <w:lang w:val="fr-CA"/>
        </w:rPr>
        <w:noBreakHyphen/>
        <w:t>Neuve</w:t>
      </w:r>
      <w:r w:rsidRPr="00F52D1E">
        <w:rPr>
          <w:rFonts w:cs="Times New Roman"/>
          <w:i/>
          <w:lang w:val="fr-CA"/>
        </w:rPr>
        <w:noBreakHyphen/>
        <w:t>et</w:t>
      </w:r>
      <w:r w:rsidRPr="00F52D1E">
        <w:rPr>
          <w:rFonts w:cs="Times New Roman"/>
          <w:i/>
          <w:lang w:val="fr-CA"/>
        </w:rPr>
        <w:noBreakHyphen/>
        <w:t>Labrador</w:t>
      </w:r>
      <w:r w:rsidRPr="00F52D1E">
        <w:rPr>
          <w:rFonts w:cs="Times New Roman"/>
          <w:lang w:val="fr-CA"/>
        </w:rPr>
        <w:t> : transcription, p. 15</w:t>
      </w:r>
      <w:r w:rsidRPr="00F52D1E">
        <w:rPr>
          <w:rFonts w:cs="Times New Roman"/>
          <w:lang w:val="fr-CA"/>
        </w:rPr>
        <w:noBreakHyphen/>
        <w:t>17 et 44</w:t>
      </w:r>
      <w:r w:rsidR="009E2F25">
        <w:rPr>
          <w:rFonts w:cs="Times New Roman"/>
          <w:lang w:val="fr-CA"/>
        </w:rPr>
        <w:noBreakHyphen/>
        <w:t>45; voir aussi m.a., par. 85 :</w:t>
      </w:r>
    </w:p>
    <w:p w:rsidR="00CF3116" w:rsidRPr="00F52D1E" w:rsidRDefault="00CF3116" w:rsidP="00CF3116">
      <w:pPr>
        <w:pStyle w:val="Citation-AltC"/>
        <w:rPr>
          <w:lang w:val="fr-CA"/>
        </w:rPr>
      </w:pPr>
      <w:r w:rsidRPr="00F52D1E">
        <w:rPr>
          <w:lang w:val="fr-CA"/>
        </w:rPr>
        <w:t>[</w:t>
      </w:r>
      <w:r w:rsidRPr="00F52D1E">
        <w:rPr>
          <w:smallCaps/>
          <w:lang w:val="fr-CA"/>
        </w:rPr>
        <w:t>traduction</w:t>
      </w:r>
      <w:r w:rsidRPr="00F52D1E">
        <w:rPr>
          <w:lang w:val="fr-CA"/>
        </w:rPr>
        <w:t>] Si la demande se limitait à demander des dommages</w:t>
      </w:r>
      <w:r w:rsidRPr="00F52D1E">
        <w:rPr>
          <w:lang w:val="fr-CA"/>
        </w:rPr>
        <w:noBreakHyphen/>
        <w:t xml:space="preserve">intérêts en raison de l’atteinte alléguée aux droits revendiqués par les défendeurs sur des territoires situés au Québec, la CSQ serait a priori compétente, </w:t>
      </w:r>
      <w:r w:rsidRPr="00F52D1E">
        <w:rPr>
          <w:u w:val="single"/>
          <w:lang w:val="fr-CA"/>
        </w:rPr>
        <w:t>même si l’atteinte découlait d’activités menées à l’extérieur de la province de Québec</w:t>
      </w:r>
      <w:r w:rsidRPr="0019745F">
        <w:rPr>
          <w:lang w:val="fr-CA"/>
        </w:rPr>
        <w:t>.</w:t>
      </w:r>
      <w:r w:rsidRPr="00F52D1E">
        <w:rPr>
          <w:lang w:val="fr-CA"/>
        </w:rPr>
        <w:t xml:space="preserve"> [Nous soulignons.]</w:t>
      </w:r>
    </w:p>
    <w:p w:rsidR="00CF3116" w:rsidRPr="00F52D1E" w:rsidRDefault="00CF3116" w:rsidP="00CF3116">
      <w:pPr>
        <w:pStyle w:val="ParaNoNdepar-AltN"/>
        <w:rPr>
          <w:rFonts w:cs="Times New Roman"/>
          <w:lang w:val="fr-CA"/>
        </w:rPr>
      </w:pPr>
      <w:r w:rsidRPr="00F52D1E">
        <w:rPr>
          <w:rFonts w:cs="Times New Roman"/>
          <w:lang w:val="fr-CA"/>
        </w:rPr>
        <w:t xml:space="preserve">Comme notre Cour l’a décidé dans l’affaire </w:t>
      </w:r>
      <w:r w:rsidRPr="00F52D1E">
        <w:rPr>
          <w:rFonts w:cs="Times New Roman"/>
          <w:i/>
          <w:lang w:val="fr-CA"/>
        </w:rPr>
        <w:t>Ciment du Saint</w:t>
      </w:r>
      <w:r w:rsidRPr="00F52D1E">
        <w:rPr>
          <w:rFonts w:cs="Times New Roman"/>
          <w:i/>
          <w:lang w:val="fr-CA"/>
        </w:rPr>
        <w:noBreakHyphen/>
        <w:t>Laurent inc. c. Barrette</w:t>
      </w:r>
      <w:r w:rsidRPr="00F52D1E">
        <w:rPr>
          <w:rFonts w:cs="Times New Roman"/>
          <w:lang w:val="fr-CA"/>
        </w:rPr>
        <w:t xml:space="preserve">, 2008 CSC 64, [2008] 3 R.C.S. 392, le recours fondé sur l’art. 976 </w:t>
      </w:r>
      <w:r w:rsidRPr="00F52D1E">
        <w:rPr>
          <w:rFonts w:cs="Times New Roman"/>
          <w:i/>
          <w:lang w:val="fr-CA"/>
        </w:rPr>
        <w:t>C.c.Q.</w:t>
      </w:r>
      <w:r w:rsidRPr="00F52D1E">
        <w:rPr>
          <w:rFonts w:cs="Times New Roman"/>
          <w:lang w:val="fr-CA"/>
        </w:rPr>
        <w:t xml:space="preserve"> demeure avant tout un droit de créance appartenant à une personne, ce qui en fait une action personnelle. Les défenderesses étant domiciliées au Québec et un préjudice y ayant été subi (art. 3148 al. 1(1) et (3) </w:t>
      </w:r>
      <w:r w:rsidRPr="00F52D1E">
        <w:rPr>
          <w:rFonts w:cs="Times New Roman"/>
          <w:i/>
          <w:lang w:val="fr-CA"/>
        </w:rPr>
        <w:t>C.c.Q.</w:t>
      </w:r>
      <w:r w:rsidRPr="00F52D1E">
        <w:rPr>
          <w:rFonts w:cs="Times New Roman"/>
          <w:lang w:val="fr-CA"/>
        </w:rPr>
        <w:t>), les autorités québécoises sont compétentes à l’égard de cette dema</w:t>
      </w:r>
      <w:r w:rsidR="009E2F25">
        <w:rPr>
          <w:rFonts w:cs="Times New Roman"/>
          <w:lang w:val="fr-CA"/>
        </w:rPr>
        <w:t>nde.</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lastRenderedPageBreak/>
        <w:t>Demande de nature fiduciaire ou fondée sur l’administration du bien d’autrui à l’égard des ouvrages et installations des défenderesses IOC et QNS&amp;L</w:t>
      </w:r>
    </w:p>
    <w:p w:rsidR="00CF3116" w:rsidRPr="00F52D1E" w:rsidRDefault="00CF3116" w:rsidP="00CF3116">
      <w:pPr>
        <w:pStyle w:val="ParaNoNdepar-AltN"/>
        <w:rPr>
          <w:rFonts w:cs="Times New Roman"/>
          <w:lang w:val="fr-CA"/>
        </w:rPr>
      </w:pPr>
      <w:r w:rsidRPr="00F52D1E">
        <w:rPr>
          <w:rFonts w:cs="Times New Roman"/>
          <w:lang w:val="fr-CA"/>
        </w:rPr>
        <w:t>Enfin, les Innus réclament divers remèdes de nature fiduciaire ([</w:t>
      </w:r>
      <w:r w:rsidRPr="00F52D1E">
        <w:rPr>
          <w:rFonts w:cs="Times New Roman"/>
          <w:smallCaps/>
          <w:lang w:val="fr-CA"/>
        </w:rPr>
        <w:t>traduction</w:t>
      </w:r>
      <w:r w:rsidRPr="00F52D1E">
        <w:rPr>
          <w:rFonts w:cs="Times New Roman"/>
          <w:lang w:val="fr-CA"/>
        </w:rPr>
        <w:t xml:space="preserve">] « fiducie constructoire », « fiducie de common law » et « fiducie ») ou fondés sur l’administration du bien d’autrui (art. 1299 </w:t>
      </w:r>
      <w:r w:rsidRPr="00F52D1E">
        <w:rPr>
          <w:rFonts w:cs="Times New Roman"/>
          <w:i/>
          <w:lang w:val="fr-CA"/>
        </w:rPr>
        <w:t>C.c.Q.</w:t>
      </w:r>
      <w:r w:rsidRPr="00F52D1E">
        <w:rPr>
          <w:rFonts w:cs="Times New Roman"/>
          <w:lang w:val="fr-CA"/>
        </w:rPr>
        <w:t xml:space="preserve">) à l’égard des ouvrages et installations des défenderesses IOC et QNS&amp;L : Requête introductive d’instance, </w:t>
      </w:r>
      <w:proofErr w:type="gramStart"/>
      <w:r w:rsidRPr="00F52D1E">
        <w:rPr>
          <w:rFonts w:cs="Times New Roman"/>
          <w:lang w:val="fr-CA"/>
        </w:rPr>
        <w:t>d.a.,</w:t>
      </w:r>
      <w:proofErr w:type="gramEnd"/>
      <w:r w:rsidRPr="00F52D1E">
        <w:rPr>
          <w:rFonts w:cs="Times New Roman"/>
          <w:lang w:val="fr-CA"/>
        </w:rPr>
        <w:t xml:space="preserve"> vol. II, p. 30. Ces demandes sont de nature réelle et, compte tenu de l’art. 3152 </w:t>
      </w:r>
      <w:r w:rsidRPr="00F52D1E">
        <w:rPr>
          <w:rFonts w:cs="Times New Roman"/>
          <w:i/>
          <w:lang w:val="fr-CA"/>
        </w:rPr>
        <w:t>C.c.Q.</w:t>
      </w:r>
      <w:r w:rsidRPr="00F52D1E">
        <w:rPr>
          <w:rFonts w:cs="Times New Roman"/>
          <w:lang w:val="fr-CA"/>
        </w:rPr>
        <w:t>, les autorités québécoises ne peuvent y faire droit si elles portent sur des ouvrages ou installations des défenderesses situés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 J. Wass, « The Court’s </w:t>
      </w:r>
      <w:r w:rsidRPr="00F52D1E">
        <w:rPr>
          <w:rFonts w:cs="Times New Roman"/>
          <w:i/>
          <w:lang w:val="fr-CA"/>
        </w:rPr>
        <w:t>In</w:t>
      </w:r>
      <w:r w:rsidRPr="00F52D1E">
        <w:rPr>
          <w:rFonts w:cs="Times New Roman"/>
          <w:lang w:val="fr-CA"/>
        </w:rPr>
        <w:t xml:space="preserve"> </w:t>
      </w:r>
      <w:r w:rsidRPr="00F52D1E">
        <w:rPr>
          <w:rFonts w:cs="Times New Roman"/>
          <w:i/>
          <w:lang w:val="fr-CA"/>
        </w:rPr>
        <w:t>Personam</w:t>
      </w:r>
      <w:r w:rsidRPr="00F52D1E">
        <w:rPr>
          <w:rFonts w:cs="Times New Roman"/>
          <w:lang w:val="fr-CA"/>
        </w:rPr>
        <w:t xml:space="preserve"> Jurisdiction in Cases Involving Foreign Land » (2014), 63 </w:t>
      </w:r>
      <w:r w:rsidRPr="00F52D1E">
        <w:rPr>
          <w:rFonts w:cs="Times New Roman"/>
          <w:i/>
          <w:lang w:val="fr-CA"/>
        </w:rPr>
        <w:t>I.C.L.Q.</w:t>
      </w:r>
      <w:r w:rsidRPr="00F52D1E">
        <w:rPr>
          <w:rFonts w:cs="Times New Roman"/>
          <w:lang w:val="fr-CA"/>
        </w:rPr>
        <w:t>, 103, p. 110 ([</w:t>
      </w:r>
      <w:r w:rsidRPr="00F52D1E">
        <w:rPr>
          <w:rFonts w:cs="Times New Roman"/>
          <w:smallCaps/>
          <w:lang w:val="fr-CA"/>
        </w:rPr>
        <w:t>traduction</w:t>
      </w:r>
      <w:r w:rsidRPr="00F52D1E">
        <w:rPr>
          <w:rFonts w:cs="Times New Roman"/>
          <w:lang w:val="fr-CA"/>
        </w:rPr>
        <w:t>] « une réclamation affirmant l’existence d’une fiducie par interprétation ou par déduction sur un bien immobilier étranger doit généralement être qualifiée de propriétale »); voir aussi Walker, p. 23</w:t>
      </w:r>
      <w:r w:rsidRPr="00F52D1E">
        <w:rPr>
          <w:rFonts w:cs="Times New Roman"/>
          <w:lang w:val="fr-CA"/>
        </w:rPr>
        <w:noBreakHyphen/>
        <w:t>3; Goldst</w:t>
      </w:r>
      <w:r w:rsidR="009E2F25">
        <w:rPr>
          <w:rFonts w:cs="Times New Roman"/>
          <w:lang w:val="fr-CA"/>
        </w:rPr>
        <w:t>ein et Groffier (2003), n° 338.</w:t>
      </w:r>
    </w:p>
    <w:p w:rsidR="00CF3116" w:rsidRPr="00F52D1E" w:rsidRDefault="00CF3116" w:rsidP="00CF3116">
      <w:pPr>
        <w:pStyle w:val="Title3LevelTitre3Niveau"/>
        <w:tabs>
          <w:tab w:val="clear" w:pos="1152"/>
        </w:tabs>
        <w:ind w:left="1530"/>
        <w:rPr>
          <w:rFonts w:cs="Times New Roman"/>
          <w:lang w:val="fr-CA"/>
        </w:rPr>
      </w:pPr>
      <w:bookmarkStart w:id="96" w:name="_Toc11660756"/>
      <w:bookmarkStart w:id="97" w:name="_Toc29195618"/>
      <w:bookmarkStart w:id="98" w:name="_Toc31207772"/>
      <w:bookmarkStart w:id="99" w:name="_Toc32309434"/>
      <w:bookmarkStart w:id="100" w:name="_Toc32852589"/>
      <w:bookmarkStart w:id="101" w:name="_Toc33007303"/>
      <w:r w:rsidRPr="00F52D1E">
        <w:rPr>
          <w:rFonts w:cs="Times New Roman"/>
          <w:lang w:val="fr-CA"/>
        </w:rPr>
        <w:t>Conclusion sur la compétence des autorités québécoises</w:t>
      </w:r>
      <w:bookmarkEnd w:id="96"/>
      <w:bookmarkEnd w:id="97"/>
      <w:bookmarkEnd w:id="98"/>
      <w:bookmarkEnd w:id="99"/>
      <w:bookmarkEnd w:id="100"/>
      <w:bookmarkEnd w:id="101"/>
    </w:p>
    <w:p w:rsidR="00CF3116" w:rsidRPr="00F52D1E" w:rsidRDefault="00CF3116" w:rsidP="00CF3116">
      <w:pPr>
        <w:pStyle w:val="ParaNoNdepar-AltN"/>
        <w:rPr>
          <w:rFonts w:cs="Times New Roman"/>
          <w:lang w:val="fr-CA"/>
        </w:rPr>
      </w:pPr>
      <w:r w:rsidRPr="00F52D1E">
        <w:rPr>
          <w:rFonts w:cs="Times New Roman"/>
          <w:lang w:val="fr-CA"/>
        </w:rPr>
        <w:t xml:space="preserve">En résumé, et compte tenu de l’art. 3152 </w:t>
      </w:r>
      <w:r w:rsidRPr="00F52D1E">
        <w:rPr>
          <w:rFonts w:cs="Times New Roman"/>
          <w:i/>
          <w:lang w:val="fr-CA"/>
        </w:rPr>
        <w:t>C.c.Q.</w:t>
      </w:r>
      <w:r w:rsidRPr="00F52D1E">
        <w:rPr>
          <w:rFonts w:cs="Times New Roman"/>
          <w:lang w:val="fr-CA"/>
        </w:rPr>
        <w:t xml:space="preserve">, les autorités québécoises sont incompétentes à l’égard de : </w:t>
      </w:r>
      <w:r w:rsidR="00C05B8D">
        <w:rPr>
          <w:rFonts w:cs="Times New Roman"/>
          <w:lang w:val="fr-CA"/>
        </w:rPr>
        <w:t>(</w:t>
      </w:r>
      <w:r w:rsidRPr="00F52D1E">
        <w:rPr>
          <w:rFonts w:cs="Times New Roman"/>
          <w:lang w:val="fr-CA"/>
        </w:rPr>
        <w:t>1) la demande de « remèdes déclaratoires » en reconnaissance d’un titre ancestral et d’autres droits ancestraux ou issus de traités sur des terres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w:t>
      </w:r>
      <w:r w:rsidR="00C05B8D">
        <w:rPr>
          <w:rFonts w:cs="Times New Roman"/>
          <w:lang w:val="fr-CA"/>
        </w:rPr>
        <w:t>(</w:t>
      </w:r>
      <w:r w:rsidRPr="00F52D1E">
        <w:rPr>
          <w:rFonts w:cs="Times New Roman"/>
          <w:lang w:val="fr-CA"/>
        </w:rPr>
        <w:t>2) la demande d’émission d’une injonction permanente visant à faire cesser les opérations, installations et activités des défenderesses IOC et QNS&amp;L sur des terres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et </w:t>
      </w:r>
      <w:r w:rsidR="00C05B8D">
        <w:rPr>
          <w:rFonts w:cs="Times New Roman"/>
          <w:lang w:val="fr-CA"/>
        </w:rPr>
        <w:t>(</w:t>
      </w:r>
      <w:r w:rsidRPr="00F52D1E">
        <w:rPr>
          <w:rFonts w:cs="Times New Roman"/>
          <w:lang w:val="fr-CA"/>
        </w:rPr>
        <w:t xml:space="preserve">3) la demande de nature fiduciaire ou fondée sur l’administration du bien d’autrui </w:t>
      </w:r>
      <w:r w:rsidRPr="00F52D1E">
        <w:rPr>
          <w:rFonts w:cs="Times New Roman"/>
          <w:lang w:val="fr-CA"/>
        </w:rPr>
        <w:lastRenderedPageBreak/>
        <w:t>concernant des ouvrages et installations des défenderesses situés à</w:t>
      </w:r>
      <w:r w:rsidR="009E2F25">
        <w:rPr>
          <w:rFonts w:cs="Times New Roman"/>
          <w:lang w:val="fr-CA"/>
        </w:rPr>
        <w:t xml:space="preserve"> Terre</w:t>
      </w:r>
      <w:r w:rsidR="009E2F25">
        <w:rPr>
          <w:rFonts w:cs="Times New Roman"/>
          <w:lang w:val="fr-CA"/>
        </w:rPr>
        <w:noBreakHyphen/>
        <w:t>Neuve</w:t>
      </w:r>
      <w:r w:rsidR="009E2F25">
        <w:rPr>
          <w:rFonts w:cs="Times New Roman"/>
          <w:lang w:val="fr-CA"/>
        </w:rPr>
        <w:noBreakHyphen/>
        <w:t>et</w:t>
      </w:r>
      <w:r w:rsidR="009E2F25">
        <w:rPr>
          <w:rFonts w:cs="Times New Roman"/>
          <w:lang w:val="fr-CA"/>
        </w:rPr>
        <w:noBreakHyphen/>
        <w:t>Labrador.</w:t>
      </w:r>
    </w:p>
    <w:p w:rsidR="00CF3116" w:rsidRPr="00F52D1E" w:rsidRDefault="00CF3116" w:rsidP="00CF3116">
      <w:pPr>
        <w:pStyle w:val="ParaNoNdepar-AltN"/>
        <w:rPr>
          <w:rFonts w:cs="Times New Roman"/>
          <w:lang w:val="fr-CA"/>
        </w:rPr>
      </w:pPr>
      <w:r w:rsidRPr="00F52D1E">
        <w:rPr>
          <w:rFonts w:cs="Times New Roman"/>
          <w:lang w:val="fr-CA"/>
        </w:rPr>
        <w:t>En conséquence, nous sommes d’avis qu’il y a lieu d’ordonner que les conclusions</w:t>
      </w:r>
      <w:r w:rsidRPr="00F52D1E">
        <w:rPr>
          <w:rFonts w:cs="Times New Roman"/>
          <w:i/>
          <w:lang w:val="fr-CA"/>
        </w:rPr>
        <w:t xml:space="preserve"> </w:t>
      </w:r>
      <w:r w:rsidRPr="00F52D1E">
        <w:rPr>
          <w:rFonts w:cs="Times New Roman"/>
          <w:lang w:val="fr-CA"/>
        </w:rPr>
        <w:t>de la requête introductive d’instance des Innus, et plus spécifiquement les conclusions qui sont de nature déclaratoire ou injonctive et qui visent le Nitassinan ou le mégaprojet d’IOC, soient modifiées afin qu’elles se limitent à des faits, activités ou droits situés à l’intérieur des l</w:t>
      </w:r>
      <w:r w:rsidR="009E2F25">
        <w:rPr>
          <w:rFonts w:cs="Times New Roman"/>
          <w:lang w:val="fr-CA"/>
        </w:rPr>
        <w:t>imites territoriales du Québec.</w:t>
      </w:r>
    </w:p>
    <w:p w:rsidR="00CF3116" w:rsidRPr="00F52D1E" w:rsidRDefault="00CF3116" w:rsidP="00CF3116">
      <w:pPr>
        <w:pStyle w:val="ParaNoNdepar-AltN"/>
        <w:rPr>
          <w:rFonts w:cs="Times New Roman"/>
          <w:lang w:val="fr-CA"/>
        </w:rPr>
      </w:pPr>
      <w:r w:rsidRPr="00F52D1E">
        <w:rPr>
          <w:rFonts w:cs="Times New Roman"/>
          <w:lang w:val="fr-CA"/>
        </w:rPr>
        <w:t>Cela dit, il n’y a pas lieu d’ordonner la radiation des allégations</w:t>
      </w:r>
      <w:r w:rsidRPr="00F52D1E">
        <w:rPr>
          <w:rFonts w:cs="Times New Roman"/>
          <w:i/>
          <w:lang w:val="fr-CA"/>
        </w:rPr>
        <w:t xml:space="preserve"> </w:t>
      </w:r>
      <w:r w:rsidRPr="00F52D1E">
        <w:rPr>
          <w:rFonts w:cs="Times New Roman"/>
          <w:lang w:val="fr-CA"/>
        </w:rPr>
        <w:t>de la requête introductive d’instance, car, comme l’explique à bon droit le juge de la Cour supérieure dans ses motifs, les allégations portant sur l’ensemble du Nitassinan, y compris sur les parties de ce territoire qui sont situées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tout comme la preuve s’y rapportant, pourraient se révéler pertinentes lors du procès au fond afin de déterminer l’existence du titre ancestral et des autres droits ancestraux ou issus de traités situés </w:t>
      </w:r>
      <w:r w:rsidRPr="00F52D1E">
        <w:rPr>
          <w:rFonts w:cs="Times New Roman"/>
          <w:i/>
          <w:lang w:val="fr-CA"/>
        </w:rPr>
        <w:t>au Québec</w:t>
      </w:r>
      <w:r w:rsidRPr="00F52D1E">
        <w:rPr>
          <w:rFonts w:cs="Times New Roman"/>
          <w:lang w:val="fr-CA"/>
        </w:rPr>
        <w:t> :</w:t>
      </w:r>
    </w:p>
    <w:p w:rsidR="00CF3116" w:rsidRPr="00F52D1E" w:rsidRDefault="00CF3116" w:rsidP="00CF3116">
      <w:pPr>
        <w:pStyle w:val="Citation-AltC"/>
        <w:ind w:firstLine="274"/>
        <w:rPr>
          <w:lang w:val="fr-CA"/>
        </w:rPr>
      </w:pPr>
      <w:r w:rsidRPr="00F52D1E">
        <w:rPr>
          <w:lang w:val="fr-CA"/>
        </w:rPr>
        <w:t xml:space="preserve">Le Tribunal estime que la nature du recours devant lui demande une prudence accrue. Comme il en a déjà été discuté, les droits ancestraux s’exerçaient et s’exercent à ce jour sans égard aux frontières provinciales. On sait par l’arrêt </w:t>
      </w:r>
      <w:r w:rsidRPr="00F52D1E">
        <w:rPr>
          <w:i/>
          <w:lang w:val="fr-CA"/>
        </w:rPr>
        <w:t>Delgamuukw</w:t>
      </w:r>
      <w:r w:rsidRPr="00F52D1E">
        <w:rPr>
          <w:lang w:val="fr-CA"/>
        </w:rPr>
        <w:t xml:space="preserve"> qu’en matière de reconnaissance de titre autochtone, l’administration de la preuve par des récits oraux est permise. En administrant cette preuve, est</w:t>
      </w:r>
      <w:r w:rsidRPr="00F52D1E">
        <w:rPr>
          <w:lang w:val="fr-CA"/>
        </w:rPr>
        <w:noBreakHyphen/>
        <w:t>ce qu’uniquement les récits de la situation au Québec seront permis, et ce, dans une situation où historiquement les Innus ne portaient pas attention à la frontière? Peut</w:t>
      </w:r>
      <w:r w:rsidRPr="00F52D1E">
        <w:rPr>
          <w:lang w:val="fr-CA"/>
        </w:rPr>
        <w:noBreakHyphen/>
        <w:t>on conclure à ce stade que la preuve des activités des Innus à Terre</w:t>
      </w:r>
      <w:r w:rsidRPr="00F52D1E">
        <w:rPr>
          <w:lang w:val="fr-CA"/>
        </w:rPr>
        <w:noBreakHyphen/>
        <w:t>Neuve</w:t>
      </w:r>
      <w:r w:rsidRPr="00F52D1E">
        <w:rPr>
          <w:lang w:val="fr-CA"/>
        </w:rPr>
        <w:noBreakHyphen/>
        <w:t>et</w:t>
      </w:r>
      <w:r w:rsidRPr="00F52D1E">
        <w:rPr>
          <w:lang w:val="fr-CA"/>
        </w:rPr>
        <w:noBreakHyphen/>
        <w:t>Labrador n’est pas pertinente à la démonstration de leurs droits ou de leur titre au Québec. Il semble évident que ces questions se répondent par la négative. Le Tribunal ne peut pas maintenant écarter la pertinence de la preuve des activités des I</w:t>
      </w:r>
      <w:r w:rsidR="009E2F25">
        <w:rPr>
          <w:lang w:val="fr-CA"/>
        </w:rPr>
        <w:t>nnus à Terre</w:t>
      </w:r>
      <w:r w:rsidR="009E2F25">
        <w:rPr>
          <w:lang w:val="fr-CA"/>
        </w:rPr>
        <w:noBreakHyphen/>
        <w:t>Neuve</w:t>
      </w:r>
      <w:r w:rsidR="009E2F25">
        <w:rPr>
          <w:lang w:val="fr-CA"/>
        </w:rPr>
        <w:noBreakHyphen/>
        <w:t>et</w:t>
      </w:r>
      <w:r w:rsidR="009E2F25">
        <w:rPr>
          <w:lang w:val="fr-CA"/>
        </w:rPr>
        <w:noBreakHyphen/>
        <w:t>Labrador.</w:t>
      </w:r>
    </w:p>
    <w:p w:rsidR="00CF3116" w:rsidRPr="00F52D1E" w:rsidRDefault="00CF3116" w:rsidP="00CF3116">
      <w:pPr>
        <w:pStyle w:val="Citation-AltC"/>
        <w:rPr>
          <w:lang w:val="fr-CA"/>
        </w:rPr>
      </w:pPr>
    </w:p>
    <w:p w:rsidR="00CF3116" w:rsidRPr="00F52D1E" w:rsidRDefault="00CF3116" w:rsidP="001C31FE">
      <w:pPr>
        <w:pStyle w:val="Citation-AltC"/>
        <w:ind w:left="0"/>
        <w:rPr>
          <w:lang w:val="fr-CA"/>
        </w:rPr>
      </w:pPr>
      <w:r w:rsidRPr="00F52D1E">
        <w:rPr>
          <w:lang w:val="fr-CA"/>
        </w:rPr>
        <w:t>(</w:t>
      </w:r>
      <w:proofErr w:type="gramStart"/>
      <w:r w:rsidRPr="00F52D1E">
        <w:rPr>
          <w:lang w:val="fr-CA"/>
        </w:rPr>
        <w:t>motifs</w:t>
      </w:r>
      <w:proofErr w:type="gramEnd"/>
      <w:r w:rsidRPr="00F52D1E">
        <w:rPr>
          <w:lang w:val="fr-CA"/>
        </w:rPr>
        <w:t xml:space="preserve"> de la C.S., par. 90)</w:t>
      </w:r>
    </w:p>
    <w:p w:rsidR="00CF3116" w:rsidRPr="00F52D1E" w:rsidRDefault="00CF3116" w:rsidP="00CF3116">
      <w:pPr>
        <w:pStyle w:val="ParaNoNdepar-AltN"/>
        <w:rPr>
          <w:rFonts w:cs="Times New Roman"/>
          <w:lang w:val="fr-CA"/>
        </w:rPr>
      </w:pPr>
      <w:r w:rsidRPr="00F52D1E">
        <w:rPr>
          <w:rFonts w:cs="Times New Roman"/>
          <w:lang w:val="fr-CA"/>
        </w:rPr>
        <w:lastRenderedPageBreak/>
        <w:t>Nous notons que, lors de l’audience devant notre Cour, le PGTNL a reconnu la nécessité de laisser intactes les allégations de la requête introductive d’instance des Innus afin qu’une preuve sur l’ensemble de leur mode de vie puisse être entendue lors du procès devant la Cour supérieure du Québec, pourvu que l’incompétence des autorités québécoises pour octroyer quelque forme de redressement que ce soit à l’égard de terres situées à l’extérieur du Québec soit clairement re</w:t>
      </w:r>
      <w:r w:rsidR="009E2F25">
        <w:rPr>
          <w:rFonts w:cs="Times New Roman"/>
          <w:lang w:val="fr-CA"/>
        </w:rPr>
        <w:t>connue : transcription, p. 7</w:t>
      </w:r>
      <w:r w:rsidR="009E2F25">
        <w:rPr>
          <w:rFonts w:cs="Times New Roman"/>
          <w:lang w:val="fr-CA"/>
        </w:rPr>
        <w:noBreakHyphen/>
        <w:t>9.</w:t>
      </w:r>
    </w:p>
    <w:p w:rsidR="00CF3116" w:rsidRPr="00F52D1E" w:rsidRDefault="00CF3116" w:rsidP="00CF3116">
      <w:pPr>
        <w:pStyle w:val="Title2LevelTitre2Niveau"/>
        <w:rPr>
          <w:rFonts w:cs="Times New Roman"/>
        </w:rPr>
      </w:pPr>
      <w:bookmarkStart w:id="102" w:name="_Toc11660757"/>
      <w:bookmarkStart w:id="103" w:name="_Toc29195619"/>
      <w:bookmarkStart w:id="104" w:name="_Toc31207773"/>
      <w:bookmarkStart w:id="105" w:name="_Toc32309435"/>
      <w:bookmarkStart w:id="106" w:name="_Toc32852590"/>
      <w:bookmarkStart w:id="107" w:name="_Toc33007304"/>
      <w:r w:rsidRPr="00F52D1E">
        <w:rPr>
          <w:rFonts w:cs="Times New Roman"/>
          <w:lang w:val="fr-CA"/>
        </w:rPr>
        <w:t>Quelques pistes de solution</w:t>
      </w:r>
      <w:bookmarkEnd w:id="102"/>
      <w:bookmarkEnd w:id="103"/>
      <w:bookmarkEnd w:id="104"/>
      <w:bookmarkEnd w:id="105"/>
      <w:bookmarkEnd w:id="106"/>
      <w:bookmarkEnd w:id="107"/>
    </w:p>
    <w:p w:rsidR="00CF3116" w:rsidRPr="00F52D1E" w:rsidRDefault="00CF3116" w:rsidP="00CF3116">
      <w:pPr>
        <w:pStyle w:val="Title3LevelTitre3Niveau"/>
        <w:tabs>
          <w:tab w:val="clear" w:pos="1152"/>
        </w:tabs>
        <w:ind w:left="1530"/>
        <w:rPr>
          <w:rFonts w:cs="Times New Roman"/>
          <w:lang w:val="fr-CA"/>
        </w:rPr>
      </w:pPr>
      <w:bookmarkStart w:id="108" w:name="_Toc11660758"/>
      <w:bookmarkStart w:id="109" w:name="_Toc29195620"/>
      <w:bookmarkStart w:id="110" w:name="_Toc31207774"/>
      <w:bookmarkStart w:id="111" w:name="_Toc32309436"/>
      <w:bookmarkStart w:id="112" w:name="_Toc32852591"/>
      <w:bookmarkStart w:id="113" w:name="_Toc33007305"/>
      <w:r w:rsidRPr="00F52D1E">
        <w:rPr>
          <w:rFonts w:cs="Times New Roman"/>
          <w:lang w:val="fr-CA"/>
        </w:rPr>
        <w:t>Caractère transfrontalier des droits ancestraux</w:t>
      </w:r>
      <w:bookmarkEnd w:id="108"/>
      <w:bookmarkEnd w:id="109"/>
      <w:bookmarkEnd w:id="110"/>
      <w:bookmarkEnd w:id="111"/>
      <w:bookmarkEnd w:id="112"/>
      <w:bookmarkEnd w:id="113"/>
    </w:p>
    <w:p w:rsidR="00CF3116" w:rsidRPr="00F52D1E" w:rsidRDefault="00CF3116" w:rsidP="00CF3116">
      <w:pPr>
        <w:pStyle w:val="ParaNoNdepar-AltN"/>
        <w:rPr>
          <w:rFonts w:cs="Times New Roman"/>
          <w:lang w:val="fr-CA"/>
        </w:rPr>
      </w:pPr>
      <w:r w:rsidRPr="00F52D1E">
        <w:rPr>
          <w:rFonts w:cs="Times New Roman"/>
          <w:lang w:val="fr-CA"/>
        </w:rPr>
        <w:t xml:space="preserve">Tel que nous l’avons déjà souligné, les droits existants — ancestraux ou issus de traités — des peuples autochtones du Canada sont reconnus et confirmés par le par. 35(1) de la </w:t>
      </w:r>
      <w:r w:rsidRPr="00F52D1E">
        <w:rPr>
          <w:rFonts w:cs="Times New Roman"/>
          <w:i/>
          <w:lang w:val="fr-CA"/>
        </w:rPr>
        <w:t>Loi constitutionnelle de 1982</w:t>
      </w:r>
      <w:r w:rsidRPr="00F52D1E">
        <w:rPr>
          <w:rFonts w:cs="Times New Roman"/>
          <w:lang w:val="fr-CA"/>
        </w:rPr>
        <w:t xml:space="preserve">. Même si ces droits ont sans aucun doute une portée et une importance égales à celles des autres droits constitutionnels, y compris les droits inscrits dans la </w:t>
      </w:r>
      <w:r w:rsidRPr="00F52D1E">
        <w:rPr>
          <w:rFonts w:cs="Times New Roman"/>
          <w:i/>
          <w:lang w:val="fr-CA"/>
        </w:rPr>
        <w:t>Charte canadienne des droits et libertés</w:t>
      </w:r>
      <w:r w:rsidRPr="00F52D1E">
        <w:rPr>
          <w:rFonts w:cs="Times New Roman"/>
          <w:lang w:val="fr-CA"/>
        </w:rPr>
        <w:t xml:space="preserve">, ils se distinguent — à plusieurs égards — des autres droits qui sont protégés par notre Constitution. D’abord, ces droits sont détenus </w:t>
      </w:r>
      <w:r w:rsidRPr="00F52D1E">
        <w:rPr>
          <w:rFonts w:cs="Times New Roman"/>
          <w:i/>
          <w:lang w:val="fr-CA"/>
        </w:rPr>
        <w:t>seulement</w:t>
      </w:r>
      <w:r w:rsidRPr="00F52D1E">
        <w:rPr>
          <w:rFonts w:cs="Times New Roman"/>
          <w:lang w:val="fr-CA"/>
        </w:rPr>
        <w:t xml:space="preserve"> par les peuples autochtones du Canada, précisément « parce qu’ils sont des autochtones » : </w:t>
      </w:r>
      <w:r w:rsidRPr="00F52D1E">
        <w:rPr>
          <w:rFonts w:cs="Times New Roman"/>
          <w:i/>
          <w:lang w:val="fr-CA"/>
        </w:rPr>
        <w:t>Van der Peet</w:t>
      </w:r>
      <w:r w:rsidRPr="00F52D1E">
        <w:rPr>
          <w:rFonts w:cs="Times New Roman"/>
          <w:lang w:val="fr-CA"/>
        </w:rPr>
        <w:t>, par. 19</w:t>
      </w:r>
      <w:r w:rsidRPr="00F52D1E">
        <w:rPr>
          <w:rFonts w:cs="Times New Roman"/>
          <w:lang w:val="fr-CA"/>
        </w:rPr>
        <w:noBreakHyphen/>
        <w:t>20; Hogg, p. 28</w:t>
      </w:r>
      <w:r w:rsidRPr="00F52D1E">
        <w:rPr>
          <w:rFonts w:cs="Times New Roman"/>
          <w:lang w:val="fr-CA"/>
        </w:rPr>
        <w:noBreakHyphen/>
        <w:t xml:space="preserve">22; T. Isaac, </w:t>
      </w:r>
      <w:r w:rsidRPr="00F52D1E">
        <w:rPr>
          <w:rFonts w:cs="Times New Roman"/>
          <w:i/>
          <w:lang w:val="fr-CA"/>
        </w:rPr>
        <w:t>Aboriginal Law</w:t>
      </w:r>
      <w:r w:rsidRPr="00F52D1E">
        <w:rPr>
          <w:rFonts w:cs="Times New Roman"/>
          <w:lang w:val="fr-CA"/>
        </w:rPr>
        <w:t xml:space="preserve"> (5</w:t>
      </w:r>
      <w:r w:rsidRPr="00F52D1E">
        <w:rPr>
          <w:rFonts w:cs="Times New Roman"/>
          <w:vertAlign w:val="superscript"/>
          <w:lang w:val="fr-CA"/>
        </w:rPr>
        <w:t>e</w:t>
      </w:r>
      <w:r w:rsidRPr="00F52D1E">
        <w:rPr>
          <w:rFonts w:cs="Times New Roman"/>
          <w:lang w:val="fr-CA"/>
        </w:rPr>
        <w:t xml:space="preserve"> éd. 2016), p. 14. Ensuite, les droits constitutionnels sont généralement soit </w:t>
      </w:r>
      <w:r w:rsidRPr="00F52D1E">
        <w:rPr>
          <w:rFonts w:cs="Times New Roman"/>
          <w:i/>
          <w:lang w:val="fr-CA"/>
        </w:rPr>
        <w:t>négatifs</w:t>
      </w:r>
      <w:r w:rsidRPr="00F52D1E">
        <w:rPr>
          <w:rFonts w:cs="Times New Roman"/>
          <w:lang w:val="fr-CA"/>
        </w:rPr>
        <w:t xml:space="preserve"> (en ce sens qu’ils protègent l’individu contre l’intrusion injustifiée de l’État), soit </w:t>
      </w:r>
      <w:r w:rsidRPr="00F52D1E">
        <w:rPr>
          <w:rFonts w:cs="Times New Roman"/>
          <w:i/>
          <w:lang w:val="fr-CA"/>
        </w:rPr>
        <w:t xml:space="preserve">positifs </w:t>
      </w:r>
      <w:r w:rsidRPr="00F52D1E">
        <w:rPr>
          <w:rFonts w:cs="Times New Roman"/>
          <w:lang w:val="fr-CA"/>
        </w:rPr>
        <w:t xml:space="preserve">(en ce sens qu’ils confèrent certains avantages, comme les droits linguistiques et le droit de vote). Au contraire, les droits ancestraux sont des droits spéciaux ou </w:t>
      </w:r>
      <w:r w:rsidRPr="00F52D1E">
        <w:rPr>
          <w:rFonts w:cs="Times New Roman"/>
          <w:i/>
          <w:lang w:val="fr-CA"/>
        </w:rPr>
        <w:t>sui generis</w:t>
      </w:r>
      <w:r w:rsidRPr="00F52D1E">
        <w:rPr>
          <w:rFonts w:cs="Times New Roman"/>
          <w:lang w:val="fr-CA"/>
        </w:rPr>
        <w:t xml:space="preserve"> qui jouissent d’un statut juridique et constitutionnel particulier : </w:t>
      </w:r>
      <w:r w:rsidRPr="00F52D1E">
        <w:rPr>
          <w:rFonts w:cs="Times New Roman"/>
          <w:i/>
          <w:lang w:val="fr-CA"/>
        </w:rPr>
        <w:t>Van der Peet</w:t>
      </w:r>
      <w:r w:rsidRPr="00F52D1E">
        <w:rPr>
          <w:rFonts w:cs="Times New Roman"/>
          <w:lang w:val="fr-CA"/>
        </w:rPr>
        <w:t xml:space="preserve">, par. 27 et 30; Hogg, </w:t>
      </w:r>
      <w:r w:rsidRPr="00F52D1E">
        <w:rPr>
          <w:rFonts w:cs="Times New Roman"/>
          <w:lang w:val="fr-CA"/>
        </w:rPr>
        <w:lastRenderedPageBreak/>
        <w:t>p. 28</w:t>
      </w:r>
      <w:r w:rsidRPr="00F52D1E">
        <w:rPr>
          <w:rFonts w:cs="Times New Roman"/>
          <w:lang w:val="fr-CA"/>
        </w:rPr>
        <w:noBreakHyphen/>
        <w:t xml:space="preserve">22. Notamment, l’existence des droits ancestraux précède l’ordre constitutionnel canadien, ce qui explique la reconnaissance par notre Cour que l’objet du par. 35(1) est de concilier la présence antérieure des peuples autochtones sur le territoire canadien avec l’affirmation par la Couronne de sa souveraineté sur ce même territoire : </w:t>
      </w:r>
      <w:r w:rsidRPr="00F52D1E">
        <w:rPr>
          <w:rFonts w:cs="Times New Roman"/>
          <w:i/>
          <w:lang w:val="fr-CA"/>
        </w:rPr>
        <w:t>Van der Peet</w:t>
      </w:r>
      <w:r w:rsidRPr="00F52D1E">
        <w:rPr>
          <w:rFonts w:cs="Times New Roman"/>
          <w:lang w:val="fr-CA"/>
        </w:rPr>
        <w:t xml:space="preserve">, par. 31, 36 et 43; </w:t>
      </w:r>
      <w:r w:rsidRPr="00F52D1E">
        <w:rPr>
          <w:rFonts w:cs="Times New Roman"/>
          <w:i/>
          <w:lang w:val="fr-CA"/>
        </w:rPr>
        <w:t>Delgamuukw</w:t>
      </w:r>
      <w:r w:rsidR="009E2F25">
        <w:rPr>
          <w:rFonts w:cs="Times New Roman"/>
          <w:lang w:val="fr-CA"/>
        </w:rPr>
        <w:t>, par. 186.</w:t>
      </w:r>
    </w:p>
    <w:p w:rsidR="00CF3116" w:rsidRPr="00F52D1E" w:rsidRDefault="00CF3116" w:rsidP="00CF3116">
      <w:pPr>
        <w:pStyle w:val="ParaNoNdepar-AltN"/>
        <w:rPr>
          <w:rFonts w:cs="Times New Roman"/>
          <w:lang w:val="fr-CA"/>
        </w:rPr>
      </w:pPr>
      <w:r w:rsidRPr="00F52D1E">
        <w:rPr>
          <w:rFonts w:cs="Times New Roman"/>
          <w:lang w:val="fr-CA"/>
        </w:rPr>
        <w:t xml:space="preserve">Un autre aspect des droits ancestraux qui les distingue des autres droits constitutionnels est le fait qu’ils se rattachent — à différents degrés — à la terre. En effet, les droits ancestraux découlent </w:t>
      </w:r>
      <w:r w:rsidRPr="00F52D1E">
        <w:rPr>
          <w:rFonts w:cs="Times New Roman"/>
          <w:i/>
          <w:lang w:val="fr-CA"/>
        </w:rPr>
        <w:t>à la fois</w:t>
      </w:r>
      <w:r w:rsidRPr="00F52D1E">
        <w:rPr>
          <w:rFonts w:cs="Times New Roman"/>
          <w:lang w:val="fr-CA"/>
        </w:rPr>
        <w:t xml:space="preserve"> de l’occupation antérieure du territoire </w:t>
      </w:r>
      <w:r w:rsidRPr="00F52D1E">
        <w:rPr>
          <w:rFonts w:cs="Times New Roman"/>
          <w:i/>
          <w:lang w:val="fr-CA"/>
        </w:rPr>
        <w:t>et</w:t>
      </w:r>
      <w:r w:rsidRPr="00F52D1E">
        <w:rPr>
          <w:rFonts w:cs="Times New Roman"/>
          <w:lang w:val="fr-CA"/>
        </w:rPr>
        <w:t xml:space="preserve"> de l’organisation sociale antérieure et des cultures distinctives des peuples autochtones habitant ce territoire : </w:t>
      </w:r>
      <w:r w:rsidRPr="00F52D1E">
        <w:rPr>
          <w:rFonts w:cs="Times New Roman"/>
          <w:i/>
          <w:lang w:val="fr-CA"/>
        </w:rPr>
        <w:t>Van der Peet</w:t>
      </w:r>
      <w:r w:rsidRPr="00F52D1E">
        <w:rPr>
          <w:rFonts w:cs="Times New Roman"/>
          <w:lang w:val="fr-CA"/>
        </w:rPr>
        <w:t xml:space="preserve">, par. 74; </w:t>
      </w:r>
      <w:r w:rsidRPr="00F52D1E">
        <w:rPr>
          <w:rFonts w:cs="Times New Roman"/>
          <w:i/>
          <w:lang w:val="fr-CA"/>
        </w:rPr>
        <w:t>R. c. Adams</w:t>
      </w:r>
      <w:r w:rsidRPr="00F52D1E">
        <w:rPr>
          <w:rFonts w:cs="Times New Roman"/>
          <w:lang w:val="fr-CA"/>
        </w:rPr>
        <w:t xml:space="preserve">, [1996] 3 R.C.S. 101, par. 29. Cet aspect des droits ancestraux est particulièrement important en l’espèce, puisque les Innus revendiquent entre autres par voie de jugement déclaratoire un </w:t>
      </w:r>
      <w:r w:rsidRPr="00F52D1E">
        <w:rPr>
          <w:rFonts w:cs="Times New Roman"/>
          <w:i/>
          <w:lang w:val="fr-CA"/>
        </w:rPr>
        <w:t>titre</w:t>
      </w:r>
      <w:r w:rsidRPr="00F52D1E">
        <w:rPr>
          <w:rFonts w:cs="Times New Roman"/>
          <w:lang w:val="fr-CA"/>
        </w:rPr>
        <w:t xml:space="preserve"> ancestral, ce qui — comme nous l’avons expliqué précédemment — dénote l’existence d’un droit </w:t>
      </w:r>
      <w:r w:rsidRPr="00F52D1E">
        <w:rPr>
          <w:rFonts w:cs="Times New Roman"/>
          <w:i/>
          <w:lang w:val="fr-CA"/>
        </w:rPr>
        <w:t>foncier</w:t>
      </w:r>
      <w:r w:rsidRPr="00F52D1E">
        <w:rPr>
          <w:rFonts w:cs="Times New Roman"/>
          <w:lang w:val="fr-CA"/>
        </w:rPr>
        <w:t>, c’est</w:t>
      </w:r>
      <w:r w:rsidRPr="00F52D1E">
        <w:rPr>
          <w:rFonts w:cs="Times New Roman"/>
          <w:lang w:val="fr-CA"/>
        </w:rPr>
        <w:noBreakHyphen/>
        <w:t>à</w:t>
      </w:r>
      <w:r w:rsidRPr="00F52D1E">
        <w:rPr>
          <w:rFonts w:cs="Times New Roman"/>
          <w:lang w:val="fr-CA"/>
        </w:rPr>
        <w:noBreakHyphen/>
        <w:t>dire d’un « droit des Autochtones sur les terres qui grève le titre sous</w:t>
      </w:r>
      <w:r w:rsidRPr="00F52D1E">
        <w:rPr>
          <w:rFonts w:cs="Times New Roman"/>
          <w:lang w:val="fr-CA"/>
        </w:rPr>
        <w:noBreakHyphen/>
        <w:t xml:space="preserve">jacent de la Couronne » : </w:t>
      </w:r>
      <w:r w:rsidRPr="00F52D1E">
        <w:rPr>
          <w:rFonts w:cs="Times New Roman"/>
          <w:i/>
          <w:lang w:val="fr-CA"/>
        </w:rPr>
        <w:t>Nation Tsilhqot’in</w:t>
      </w:r>
      <w:r w:rsidR="009E2F25">
        <w:rPr>
          <w:rFonts w:cs="Times New Roman"/>
          <w:lang w:val="fr-CA"/>
        </w:rPr>
        <w:t>, par. 69.</w:t>
      </w:r>
    </w:p>
    <w:p w:rsidR="00CF3116" w:rsidRPr="00F52D1E" w:rsidRDefault="00CF3116" w:rsidP="00CF3116">
      <w:pPr>
        <w:pStyle w:val="ParaNoNdepar-AltN"/>
        <w:rPr>
          <w:rFonts w:cs="Times New Roman"/>
          <w:lang w:val="fr-CA"/>
        </w:rPr>
      </w:pPr>
      <w:r w:rsidRPr="00F52D1E">
        <w:rPr>
          <w:rFonts w:cs="Times New Roman"/>
          <w:lang w:val="fr-CA"/>
        </w:rPr>
        <w:t xml:space="preserve">Cet aspect du droit que les Innus cherchent à faire reconnaître et à protéger en l’espèce — un droit </w:t>
      </w:r>
      <w:r w:rsidRPr="00F52D1E">
        <w:rPr>
          <w:rFonts w:cs="Times New Roman"/>
          <w:i/>
          <w:lang w:val="fr-CA"/>
        </w:rPr>
        <w:t>foncier</w:t>
      </w:r>
      <w:r w:rsidRPr="00F52D1E">
        <w:rPr>
          <w:rFonts w:cs="Times New Roman"/>
          <w:lang w:val="fr-CA"/>
        </w:rPr>
        <w:t xml:space="preserve"> — revêt une grande importance, puisque la présence des peuples autochtones en Amérique du Nord et leur occupation historique du territoire ont </w:t>
      </w:r>
      <w:r w:rsidRPr="00F52D1E">
        <w:rPr>
          <w:rFonts w:cs="Times New Roman"/>
          <w:i/>
          <w:lang w:val="fr-CA"/>
        </w:rPr>
        <w:t xml:space="preserve">précédé </w:t>
      </w:r>
      <w:r w:rsidRPr="00F52D1E">
        <w:rPr>
          <w:rFonts w:cs="Times New Roman"/>
          <w:lang w:val="fr-CA"/>
        </w:rPr>
        <w:t xml:space="preserve">l’imposition (d’abord coloniale, puis constitutionnelle) des frontières provinciales sur le territoire canadien. Il s’ensuit logiquement que, parfois, comme en l’espèce, les peuples autochtones cherchent à faire reconnaître et à protéger des droits ancestraux — y compris un titre ancestral — sur un seul et même territoire traditionnel qui chevauche les frontières entre différentes provinces. Il s’ensuit tout aussi </w:t>
      </w:r>
      <w:r w:rsidRPr="00F52D1E">
        <w:rPr>
          <w:rFonts w:cs="Times New Roman"/>
          <w:lang w:val="fr-CA"/>
        </w:rPr>
        <w:lastRenderedPageBreak/>
        <w:t>logiquement que, si l’on souhaite atteindre l’objectif de conciliation entre la présence antérieure des peuples autochtones sur le territoire canadien et l’affirmation par la Couronne de sa souveraineté sur ce même territoire, il faut nécessairement tenir compte de la possibilité bien réelle qu’un seul et même territoire traditionnel sujet à une revendication transfrontalière de droits ancestraux — y compris d’un titre ancestral — franchisse les frontières provinciales fixées par l</w:t>
      </w:r>
      <w:r w:rsidR="009E2F25">
        <w:rPr>
          <w:rFonts w:cs="Times New Roman"/>
          <w:lang w:val="fr-CA"/>
        </w:rPr>
        <w:t>a Couronne.</w:t>
      </w:r>
    </w:p>
    <w:p w:rsidR="00CF3116" w:rsidRPr="00F52D1E" w:rsidRDefault="00CF3116" w:rsidP="00CF3116">
      <w:pPr>
        <w:pStyle w:val="ParaNoNdepar-AltN"/>
        <w:rPr>
          <w:rFonts w:cs="Times New Roman"/>
          <w:lang w:val="fr-CA"/>
        </w:rPr>
      </w:pPr>
      <w:r w:rsidRPr="00F52D1E">
        <w:rPr>
          <w:rFonts w:cs="Times New Roman"/>
          <w:lang w:val="fr-CA"/>
        </w:rPr>
        <w:t xml:space="preserve">Toutefois, l’occupation antérieure pour les peuples autochtones n’est que l’un des </w:t>
      </w:r>
      <w:r w:rsidRPr="00F52D1E">
        <w:rPr>
          <w:rFonts w:cs="Times New Roman"/>
          <w:i/>
          <w:lang w:val="fr-CA"/>
        </w:rPr>
        <w:t>deux</w:t>
      </w:r>
      <w:r w:rsidRPr="00F52D1E">
        <w:rPr>
          <w:rFonts w:cs="Times New Roman"/>
          <w:lang w:val="fr-CA"/>
        </w:rPr>
        <w:t xml:space="preserve"> éléments de notre ordre constitutionnel et de notre histoire que nous devons concilier, le second étant le « princip[e] constitutionne[l] directeu[r] fondamenta[l] » du fédéralisme et son corollaire, la souveraineté de la couronne provinciale dans les matières relevant de la compétence provinciale :</w:t>
      </w:r>
      <w:r w:rsidRPr="00F52D1E">
        <w:rPr>
          <w:rFonts w:cs="Times New Roman"/>
          <w:i/>
          <w:lang w:val="fr-CA"/>
        </w:rPr>
        <w:t xml:space="preserve"> Renvoi relatif à la sécession du Québec</w:t>
      </w:r>
      <w:r w:rsidRPr="00F52D1E">
        <w:rPr>
          <w:rFonts w:cs="Times New Roman"/>
          <w:lang w:val="fr-CA"/>
        </w:rPr>
        <w:t>, [1998] 2 R.C.S. 217, par. 32 (« </w:t>
      </w:r>
      <w:r w:rsidRPr="00F52D1E">
        <w:rPr>
          <w:rFonts w:cs="Times New Roman"/>
          <w:i/>
          <w:lang w:val="fr-CA"/>
        </w:rPr>
        <w:t>Renvoi sur la sécession</w:t>
      </w:r>
      <w:r w:rsidRPr="00F52D1E">
        <w:rPr>
          <w:rFonts w:cs="Times New Roman"/>
          <w:lang w:val="fr-CA"/>
        </w:rPr>
        <w:t xml:space="preserve"> »); voir aussi </w:t>
      </w:r>
      <w:r w:rsidRPr="00F52D1E">
        <w:rPr>
          <w:rFonts w:cs="Times New Roman"/>
          <w:i/>
          <w:lang w:val="fr-CA"/>
        </w:rPr>
        <w:t>Caron c. Alberta</w:t>
      </w:r>
      <w:r w:rsidRPr="00F52D1E">
        <w:rPr>
          <w:rFonts w:cs="Times New Roman"/>
          <w:lang w:val="fr-CA"/>
        </w:rPr>
        <w:t xml:space="preserve">, 2015 CSC 56, [2015] 3 R.C.S. 511, par. 5; </w:t>
      </w:r>
      <w:r w:rsidRPr="00F52D1E">
        <w:rPr>
          <w:rFonts w:cs="Times New Roman"/>
          <w:i/>
          <w:lang w:val="fr-CA"/>
        </w:rPr>
        <w:t>R. c. Comeau</w:t>
      </w:r>
      <w:r w:rsidRPr="00F52D1E">
        <w:rPr>
          <w:rFonts w:cs="Times New Roman"/>
          <w:lang w:val="fr-CA"/>
        </w:rPr>
        <w:t xml:space="preserve">, 2018 CSC 15, [2018] 1 R.C.S. 342, par. 78. Or, dans notre ordre constitutionnel, la compétence provinciale est, comme nous l’avons déjà signalé, </w:t>
      </w:r>
      <w:r w:rsidRPr="00F52D1E">
        <w:rPr>
          <w:rFonts w:cs="Times New Roman"/>
          <w:i/>
          <w:lang w:val="fr-CA"/>
        </w:rPr>
        <w:t>limitée territorialement</w:t>
      </w:r>
      <w:r w:rsidRPr="00F52D1E">
        <w:rPr>
          <w:rFonts w:cs="Times New Roman"/>
          <w:lang w:val="fr-CA"/>
        </w:rPr>
        <w:t>, et ce, en reconnaissance de deux principes connexes. Le premier — l’égalité des provinces au sein de la fédération canadienne — a été exprimé comme sui</w:t>
      </w:r>
      <w:r w:rsidR="009E2F25">
        <w:rPr>
          <w:rFonts w:cs="Times New Roman"/>
          <w:lang w:val="fr-CA"/>
        </w:rPr>
        <w:t>t par l’autrice Ruth Sullivan :</w:t>
      </w:r>
    </w:p>
    <w:p w:rsidR="00CF3116" w:rsidRPr="009E2F25" w:rsidRDefault="00CF3116" w:rsidP="00CF3116">
      <w:pPr>
        <w:pStyle w:val="Citation-AltC"/>
        <w:rPr>
          <w:lang w:val="fr-FR"/>
        </w:rPr>
      </w:pPr>
      <w:r w:rsidRPr="00F52D1E">
        <w:rPr>
          <w:lang w:val="fr-FR"/>
        </w:rPr>
        <w:t>[</w:t>
      </w:r>
      <w:r w:rsidRPr="00F52D1E">
        <w:rPr>
          <w:smallCaps/>
          <w:lang w:val="fr-FR"/>
        </w:rPr>
        <w:t>traduction</w:t>
      </w:r>
      <w:r w:rsidRPr="00F52D1E">
        <w:rPr>
          <w:lang w:val="fr-FR"/>
        </w:rPr>
        <w:t>] Les provinces du Canada [. . .] jouissent d’une dignité équivalente et chacune d’entre elles est investie de la même compétence exclusive sur les matières énumérées à l’article 92. Cette compétence se limite forcément aux matières « dans la province » parce que tout autre régime permettrait à une province de violer la souveraineté interne des autres provinces.</w:t>
      </w:r>
    </w:p>
    <w:p w:rsidR="00CF3116" w:rsidRPr="00F52D1E" w:rsidRDefault="00CF3116" w:rsidP="00CF3116">
      <w:pPr>
        <w:pStyle w:val="Citation-AltC"/>
        <w:rPr>
          <w:lang w:val="fr-CA"/>
        </w:rPr>
      </w:pPr>
    </w:p>
    <w:p w:rsidR="00CF3116" w:rsidRPr="00F52D1E" w:rsidRDefault="00CF3116" w:rsidP="001C31FE">
      <w:pPr>
        <w:pStyle w:val="Citation-AltC"/>
        <w:ind w:left="0"/>
        <w:rPr>
          <w:lang w:val="fr-CA"/>
        </w:rPr>
      </w:pPr>
      <w:r w:rsidRPr="00F52D1E">
        <w:rPr>
          <w:lang w:val="fr-CA"/>
        </w:rPr>
        <w:t xml:space="preserve">(Sullivan, p. 528; cité avec approbation dans </w:t>
      </w:r>
      <w:r w:rsidRPr="00F52D1E">
        <w:rPr>
          <w:i/>
          <w:lang w:val="fr-CA"/>
        </w:rPr>
        <w:t>1068754 Alberta Ltd. c. Québec (Agence du revenu)</w:t>
      </w:r>
      <w:r w:rsidRPr="00F52D1E">
        <w:rPr>
          <w:lang w:val="fr-CA"/>
        </w:rPr>
        <w:t xml:space="preserve">, 2019 CSC 37, </w:t>
      </w:r>
      <w:r w:rsidR="007F5847">
        <w:rPr>
          <w:lang w:val="fr-CA"/>
        </w:rPr>
        <w:t xml:space="preserve">[2019] 2 R.C.S. 993, </w:t>
      </w:r>
      <w:r w:rsidRPr="00F52D1E">
        <w:rPr>
          <w:lang w:val="fr-CA"/>
        </w:rPr>
        <w:t>par. 83 (« </w:t>
      </w:r>
      <w:r w:rsidRPr="00F52D1E">
        <w:rPr>
          <w:i/>
          <w:lang w:val="fr-CA"/>
        </w:rPr>
        <w:t>Bitton Trust</w:t>
      </w:r>
      <w:r w:rsidRPr="00F52D1E">
        <w:rPr>
          <w:lang w:val="fr-CA"/>
        </w:rPr>
        <w:t> »))</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Le second — le respect dû à la souveraineté législative des autres provinces dans leurs champs de compétence respectifs — a été énoncé par notre Cour dans </w:t>
      </w:r>
      <w:r w:rsidRPr="00F52D1E">
        <w:rPr>
          <w:rFonts w:cs="Times New Roman"/>
          <w:i/>
          <w:lang w:val="fr-CA"/>
        </w:rPr>
        <w:t>Unifund Assurance Co. c. Insurance Corp. of British Columbia</w:t>
      </w:r>
      <w:r w:rsidRPr="00F52D1E">
        <w:rPr>
          <w:rFonts w:cs="Times New Roman"/>
          <w:lang w:val="fr-CA"/>
        </w:rPr>
        <w:t>, 2003 CSC 40, [2003] 2 R.C.S. 63, par. 5</w:t>
      </w:r>
      <w:r w:rsidR="009E2F25">
        <w:rPr>
          <w:rFonts w:cs="Times New Roman"/>
          <w:lang w:val="fr-CA"/>
        </w:rPr>
        <w:t>1 :</w:t>
      </w:r>
    </w:p>
    <w:p w:rsidR="00CF3116" w:rsidRPr="00F52D1E" w:rsidRDefault="00CF3116" w:rsidP="00CF3116">
      <w:pPr>
        <w:pStyle w:val="Citation-AltC"/>
        <w:rPr>
          <w:lang w:val="fr-CA"/>
        </w:rPr>
      </w:pPr>
      <w:r w:rsidRPr="00F52D1E">
        <w:rPr>
          <w:lang w:val="fr-CA"/>
        </w:rPr>
        <w:tab/>
        <w:t xml:space="preserve">Cette restriction de la portée territoriale est fondamentale dans notre régime fédéral où chaque province est tenue de respecter la souveraineté législative des autres provinces dans leurs champs de compétence respectifs, et où elle s’attend au même respect en retour. Cette restriction ressort du passage liminaire de l’art. 92 de la </w:t>
      </w:r>
      <w:r w:rsidRPr="00F52D1E">
        <w:rPr>
          <w:i/>
          <w:lang w:val="fr-CA"/>
        </w:rPr>
        <w:t>Loi constitutionnelle de 1867</w:t>
      </w:r>
      <w:r w:rsidRPr="00F52D1E">
        <w:rPr>
          <w:lang w:val="fr-CA"/>
        </w:rPr>
        <w:t>, qui limite la portée territoriale des lois provinciales : « </w:t>
      </w:r>
      <w:r w:rsidRPr="00F52D1E">
        <w:rPr>
          <w:u w:val="single"/>
          <w:lang w:val="fr-CA"/>
        </w:rPr>
        <w:t>Dans chaque province</w:t>
      </w:r>
      <w:r w:rsidRPr="00F52D1E">
        <w:rPr>
          <w:lang w:val="fr-CA"/>
        </w:rPr>
        <w:t xml:space="preserve"> la législature pourra exclusivement faire des lois relatives aux matières tombant » sous les chefs de compétence qui y sont énumérés. Le pouvoir de légiférer en matière d’assurance découle du par. 92(13), lequel confère à chaque province le pouvoir de faire des lois relatives à la « propriété et [aux] droits civils </w:t>
      </w:r>
      <w:r w:rsidRPr="00F52D1E">
        <w:rPr>
          <w:u w:val="single"/>
          <w:lang w:val="fr-CA"/>
        </w:rPr>
        <w:t>dans la province</w:t>
      </w:r>
      <w:r w:rsidR="009E2F25">
        <w:rPr>
          <w:lang w:val="fr-CA"/>
        </w:rPr>
        <w:t> ».</w:t>
      </w:r>
    </w:p>
    <w:p w:rsidR="00CF3116" w:rsidRPr="00F52D1E" w:rsidRDefault="00CF3116" w:rsidP="00CF3116">
      <w:pPr>
        <w:pStyle w:val="ParaNoNdepar-AltN"/>
        <w:rPr>
          <w:rFonts w:cs="Times New Roman"/>
          <w:lang w:val="fr-CA"/>
        </w:rPr>
      </w:pPr>
      <w:r w:rsidRPr="00F52D1E">
        <w:rPr>
          <w:rFonts w:cs="Times New Roman"/>
          <w:lang w:val="fr-CA"/>
        </w:rPr>
        <w:t xml:space="preserve">L’objectif de conciliation ne peut donc pas être atteint si l’on reconnaît d’une part l’occupation antérieure des peuples autochtones, tout en écartant d’autre part le principe constitutionnel du fédéralisme et de la souveraineté de la couronne provinciale, contrevenant par le fait même au principe bien établi selon lequel une partie de la constitution ne peut en abroger une autre : </w:t>
      </w:r>
      <w:r w:rsidRPr="00F52D1E">
        <w:rPr>
          <w:rFonts w:cs="Times New Roman"/>
          <w:i/>
          <w:lang w:val="fr-CA"/>
        </w:rPr>
        <w:t>New Brunswick Broadcasting Co. c. Nouvelle</w:t>
      </w:r>
      <w:r w:rsidRPr="00F52D1E">
        <w:rPr>
          <w:rFonts w:cs="Times New Roman"/>
          <w:i/>
          <w:lang w:val="fr-CA"/>
        </w:rPr>
        <w:noBreakHyphen/>
        <w:t>Écosse (Président de l'Assemblée législative)</w:t>
      </w:r>
      <w:r w:rsidRPr="00F52D1E">
        <w:rPr>
          <w:rFonts w:cs="Times New Roman"/>
          <w:lang w:val="fr-CA"/>
        </w:rPr>
        <w:t xml:space="preserve">, [1993] 1 R.C.S. 319, p. 390. Tout comme notre Cour a déjà affirmé que la seule façon juste et équitable d’atteindre l’objectif de conciliation est « de tenir compte </w:t>
      </w:r>
      <w:r w:rsidRPr="00F52D1E">
        <w:rPr>
          <w:rFonts w:cs="Times New Roman"/>
          <w:u w:val="single"/>
          <w:lang w:val="fr-CA"/>
        </w:rPr>
        <w:t>à la fois</w:t>
      </w:r>
      <w:r w:rsidRPr="00F52D1E">
        <w:rPr>
          <w:rFonts w:cs="Times New Roman"/>
          <w:lang w:val="fr-CA"/>
        </w:rPr>
        <w:t xml:space="preserve"> du point de vue des autochtones et de la common law », de même faut</w:t>
      </w:r>
      <w:r w:rsidRPr="00F52D1E">
        <w:rPr>
          <w:rFonts w:cs="Times New Roman"/>
          <w:lang w:val="fr-CA"/>
        </w:rPr>
        <w:noBreakHyphen/>
        <w:t xml:space="preserve">il, en l’espèce, réaliser l’objectif de conciliation en tenant compte </w:t>
      </w:r>
      <w:r w:rsidRPr="00F52D1E">
        <w:rPr>
          <w:rFonts w:cs="Times New Roman"/>
          <w:i/>
          <w:lang w:val="fr-CA"/>
        </w:rPr>
        <w:t>non seulement</w:t>
      </w:r>
      <w:r w:rsidRPr="00F52D1E">
        <w:rPr>
          <w:rFonts w:cs="Times New Roman"/>
          <w:lang w:val="fr-CA"/>
        </w:rPr>
        <w:t xml:space="preserve"> « du point de vue des autochtones » — et donc de l’occupation antérieure et sans frontière du territoire canadien par ceux</w:t>
      </w:r>
      <w:r w:rsidRPr="00F52D1E">
        <w:rPr>
          <w:rFonts w:cs="Times New Roman"/>
          <w:lang w:val="fr-CA"/>
        </w:rPr>
        <w:noBreakHyphen/>
        <w:t xml:space="preserve">ci —, </w:t>
      </w:r>
      <w:r w:rsidRPr="00F52D1E">
        <w:rPr>
          <w:rFonts w:cs="Times New Roman"/>
          <w:i/>
          <w:lang w:val="fr-CA"/>
        </w:rPr>
        <w:t>mais aussi</w:t>
      </w:r>
      <w:r w:rsidRPr="00F52D1E">
        <w:rPr>
          <w:rFonts w:cs="Times New Roman"/>
          <w:lang w:val="fr-CA"/>
        </w:rPr>
        <w:t xml:space="preserve"> du cadre constitutionnel qui accompagne la souveraineté de la Couronne et dans lequel les tribunaux canadiens doivent opérer : </w:t>
      </w:r>
      <w:r w:rsidRPr="00F52D1E">
        <w:rPr>
          <w:rFonts w:cs="Times New Roman"/>
          <w:i/>
          <w:lang w:val="fr-CA"/>
        </w:rPr>
        <w:t>Van der Peet</w:t>
      </w:r>
      <w:r w:rsidRPr="00F52D1E">
        <w:rPr>
          <w:rFonts w:cs="Times New Roman"/>
          <w:lang w:val="fr-CA"/>
        </w:rPr>
        <w:t xml:space="preserve">, par. 50 (nous </w:t>
      </w:r>
      <w:r w:rsidRPr="00F52D1E">
        <w:rPr>
          <w:rFonts w:cs="Times New Roman"/>
          <w:lang w:val="fr-CA"/>
        </w:rPr>
        <w:lastRenderedPageBreak/>
        <w:t xml:space="preserve">soulignons); voir aussi M. Walters, « British Imperial Constitutional Law and Aboriginal Rights : A Comment on </w:t>
      </w:r>
      <w:r w:rsidRPr="00F52D1E">
        <w:rPr>
          <w:rFonts w:cs="Times New Roman"/>
          <w:i/>
          <w:lang w:val="fr-CA"/>
        </w:rPr>
        <w:t>Delgamuukw v. British Columbia</w:t>
      </w:r>
      <w:r w:rsidRPr="00F52D1E">
        <w:rPr>
          <w:rFonts w:cs="Times New Roman"/>
          <w:lang w:val="fr-CA"/>
        </w:rPr>
        <w:t xml:space="preserve"> » (1992), 17 </w:t>
      </w:r>
      <w:r w:rsidRPr="00F52D1E">
        <w:rPr>
          <w:rFonts w:cs="Times New Roman"/>
          <w:i/>
          <w:lang w:val="fr-CA"/>
        </w:rPr>
        <w:t xml:space="preserve">Queen’s L.J. </w:t>
      </w:r>
      <w:r w:rsidRPr="00F52D1E">
        <w:rPr>
          <w:rFonts w:cs="Times New Roman"/>
          <w:lang w:val="fr-CA"/>
        </w:rPr>
        <w:t xml:space="preserve">350, p. 413. Comme notre Cour l’a énoncé dans </w:t>
      </w:r>
      <w:r w:rsidRPr="00F52D1E">
        <w:rPr>
          <w:rFonts w:cs="Times New Roman"/>
          <w:i/>
          <w:lang w:val="fr-CA"/>
        </w:rPr>
        <w:t>Van der Peet</w:t>
      </w:r>
      <w:r w:rsidR="009E2F25">
        <w:rPr>
          <w:rFonts w:cs="Times New Roman"/>
          <w:lang w:val="fr-CA"/>
        </w:rPr>
        <w:t>, par. 49 :</w:t>
      </w:r>
    </w:p>
    <w:p w:rsidR="00CF3116" w:rsidRPr="00F52D1E" w:rsidRDefault="00CF3116" w:rsidP="00CF3116">
      <w:pPr>
        <w:pStyle w:val="Citation-AltC"/>
      </w:pPr>
      <w:r w:rsidRPr="00F52D1E">
        <w:rPr>
          <w:lang w:val="fr-CA"/>
        </w:rPr>
        <w:t>Pour concilier véritablement l’occupation antérieure du territoire canadien par les peuples autochtones avec l’affirmation par Sa Majesté de sa souveraineté sur celui</w:t>
      </w:r>
      <w:r w:rsidRPr="00F52D1E">
        <w:rPr>
          <w:lang w:val="fr-CA"/>
        </w:rPr>
        <w:noBreakHyphen/>
        <w:t xml:space="preserve">ci, un droit ancestral doit être défini d’une manière qui, tout en tenant compte du point de vue des autochtones, </w:t>
      </w:r>
      <w:r w:rsidRPr="00F52D1E">
        <w:rPr>
          <w:u w:val="single"/>
          <w:lang w:val="fr-CA"/>
        </w:rPr>
        <w:t>soit néanmoins compatible avec le système juridique non autochtone</w:t>
      </w:r>
      <w:r w:rsidRPr="00F52D1E">
        <w:rPr>
          <w:lang w:val="fr-CA"/>
        </w:rPr>
        <w:t xml:space="preserve">. </w:t>
      </w:r>
      <w:r w:rsidRPr="00F52D1E">
        <w:t>[Nous soulignons.]</w:t>
      </w:r>
    </w:p>
    <w:p w:rsidR="00CF3116" w:rsidRPr="00F52D1E" w:rsidRDefault="00CF3116" w:rsidP="00CF3116">
      <w:pPr>
        <w:pStyle w:val="ParaNoNdepar-AltN"/>
        <w:rPr>
          <w:rFonts w:cs="Times New Roman"/>
          <w:lang w:val="fr-CA"/>
        </w:rPr>
      </w:pPr>
      <w:r w:rsidRPr="00F52D1E">
        <w:rPr>
          <w:rFonts w:cs="Times New Roman"/>
          <w:lang w:val="fr-CA"/>
        </w:rPr>
        <w:t xml:space="preserve">Bref, les droits ancestraux sont certes </w:t>
      </w:r>
      <w:r w:rsidRPr="00F52D1E">
        <w:rPr>
          <w:rFonts w:cs="Times New Roman"/>
          <w:i/>
          <w:lang w:val="fr-CA"/>
        </w:rPr>
        <w:t>sui generis</w:t>
      </w:r>
      <w:r w:rsidRPr="00F52D1E">
        <w:rPr>
          <w:rFonts w:cs="Times New Roman"/>
          <w:lang w:val="fr-CA"/>
        </w:rPr>
        <w:t xml:space="preserve">, mais ils existent « dans les limites du système juridique canadien » : </w:t>
      </w:r>
      <w:r w:rsidRPr="00F52D1E">
        <w:rPr>
          <w:rFonts w:cs="Times New Roman"/>
          <w:i/>
          <w:lang w:val="fr-CA"/>
        </w:rPr>
        <w:t>Van der Peet</w:t>
      </w:r>
      <w:r w:rsidRPr="00F52D1E">
        <w:rPr>
          <w:rFonts w:cs="Times New Roman"/>
          <w:lang w:val="fr-CA"/>
        </w:rPr>
        <w:t xml:space="preserve">, par. 49. En fait, la reconnaissance et la confirmation des droits ancestraux par le par. 35(1) de la </w:t>
      </w:r>
      <w:r w:rsidRPr="00F52D1E">
        <w:rPr>
          <w:rFonts w:cs="Times New Roman"/>
          <w:i/>
          <w:lang w:val="fr-CA"/>
        </w:rPr>
        <w:t>Loi constitutionnelle de 1982</w:t>
      </w:r>
      <w:r w:rsidRPr="00F52D1E">
        <w:rPr>
          <w:rFonts w:cs="Times New Roman"/>
          <w:lang w:val="fr-CA"/>
        </w:rPr>
        <w:t xml:space="preserve"> — lequel fait partie </w:t>
      </w:r>
      <w:r w:rsidRPr="00F52D1E">
        <w:rPr>
          <w:rFonts w:cs="Times New Roman"/>
          <w:i/>
          <w:lang w:val="fr-CA"/>
        </w:rPr>
        <w:t>de la Constitution du Canada</w:t>
      </w:r>
      <w:r w:rsidRPr="00F52D1E">
        <w:rPr>
          <w:rFonts w:cs="Times New Roman"/>
          <w:lang w:val="fr-CA"/>
        </w:rPr>
        <w:t xml:space="preserve"> — constituent une manifestation claire de ce principe. Conséquemment, la revendication de droits ancestraux devant les tribunaux ne doit pas faire entorse à « l’organisation juridique et constitutionnelle du Canada » : </w:t>
      </w:r>
      <w:r w:rsidRPr="00F52D1E">
        <w:rPr>
          <w:rFonts w:cs="Times New Roman"/>
          <w:i/>
          <w:lang w:val="fr-CA"/>
        </w:rPr>
        <w:t>Van der Peet</w:t>
      </w:r>
      <w:r w:rsidRPr="00F52D1E">
        <w:rPr>
          <w:rFonts w:cs="Times New Roman"/>
          <w:lang w:val="fr-CA"/>
        </w:rPr>
        <w:t xml:space="preserve">, par. 49; </w:t>
      </w:r>
      <w:r w:rsidRPr="00F52D1E">
        <w:rPr>
          <w:rFonts w:cs="Times New Roman"/>
          <w:i/>
          <w:lang w:val="fr-CA"/>
        </w:rPr>
        <w:t>Delgamuukw</w:t>
      </w:r>
      <w:r w:rsidRPr="00F52D1E">
        <w:rPr>
          <w:rFonts w:cs="Times New Roman"/>
          <w:lang w:val="fr-CA"/>
        </w:rPr>
        <w:t xml:space="preserve">, par. 82; voir aussi </w:t>
      </w:r>
      <w:r w:rsidRPr="00F52D1E">
        <w:rPr>
          <w:rFonts w:cs="Times New Roman"/>
          <w:i/>
          <w:lang w:val="fr-CA"/>
        </w:rPr>
        <w:t>Mitchell</w:t>
      </w:r>
      <w:r w:rsidR="009E2F25">
        <w:rPr>
          <w:rFonts w:cs="Times New Roman"/>
          <w:lang w:val="fr-CA"/>
        </w:rPr>
        <w:t>, par. 38.</w:t>
      </w:r>
    </w:p>
    <w:p w:rsidR="00CF3116" w:rsidRPr="00F52D1E" w:rsidRDefault="00CF3116" w:rsidP="00CF3116">
      <w:pPr>
        <w:pStyle w:val="Title3LevelTitre3Niveau"/>
        <w:tabs>
          <w:tab w:val="clear" w:pos="1152"/>
        </w:tabs>
        <w:ind w:left="1530"/>
        <w:rPr>
          <w:rFonts w:cs="Times New Roman"/>
          <w:lang w:val="fr-CA"/>
        </w:rPr>
      </w:pPr>
      <w:bookmarkStart w:id="114" w:name="_Toc11660759"/>
      <w:bookmarkStart w:id="115" w:name="_Toc29195621"/>
      <w:bookmarkStart w:id="116" w:name="_Toc31207775"/>
      <w:bookmarkStart w:id="117" w:name="_Toc32309437"/>
      <w:bookmarkStart w:id="118" w:name="_Toc32852592"/>
      <w:bookmarkStart w:id="119" w:name="_Toc33007306"/>
      <w:r w:rsidRPr="00F52D1E">
        <w:rPr>
          <w:rFonts w:cs="Times New Roman"/>
          <w:lang w:val="fr-CA"/>
        </w:rPr>
        <w:t>Accès à la justice</w:t>
      </w:r>
      <w:bookmarkEnd w:id="114"/>
      <w:bookmarkEnd w:id="115"/>
      <w:bookmarkEnd w:id="116"/>
      <w:bookmarkEnd w:id="117"/>
      <w:bookmarkEnd w:id="118"/>
      <w:bookmarkEnd w:id="119"/>
    </w:p>
    <w:p w:rsidR="00CF3116" w:rsidRPr="00F52D1E" w:rsidRDefault="00CF3116" w:rsidP="00CF3116">
      <w:pPr>
        <w:pStyle w:val="ParaNoNdepar-AltN"/>
        <w:rPr>
          <w:rFonts w:cs="Times New Roman"/>
          <w:lang w:val="fr-CA"/>
        </w:rPr>
      </w:pPr>
      <w:r w:rsidRPr="00F52D1E">
        <w:rPr>
          <w:rFonts w:cs="Times New Roman"/>
          <w:lang w:val="fr-CA"/>
        </w:rPr>
        <w:t xml:space="preserve">Nous sommes toutefois préoccupés par un autre élément qui constitue « un aspect fondamental de nos arrangements constitutionnels », à savoir l’accès à la justice : </w:t>
      </w:r>
      <w:r w:rsidRPr="00F52D1E">
        <w:rPr>
          <w:rFonts w:cs="Times New Roman"/>
          <w:i/>
          <w:lang w:val="fr-CA"/>
        </w:rPr>
        <w:t>Trial Lawyers Association of British Columbia c. Colombie</w:t>
      </w:r>
      <w:r w:rsidRPr="00F52D1E">
        <w:rPr>
          <w:rFonts w:cs="Times New Roman"/>
          <w:i/>
          <w:lang w:val="fr-CA"/>
        </w:rPr>
        <w:noBreakHyphen/>
        <w:t>Britannique (Procureur général)</w:t>
      </w:r>
      <w:r w:rsidRPr="00F52D1E">
        <w:rPr>
          <w:rFonts w:cs="Times New Roman"/>
          <w:lang w:val="fr-CA"/>
        </w:rPr>
        <w:t xml:space="preserve">, 2014 CSC 59, [2014] 3 R.C.S. 31, par. 41. En effet, notre Cour a déjà décrit l’accès à la justice comme étant une condition essentielle de la primauté du droit. « Il ne peut y avoir », selon notre Cour, « de primauté du droit sans accès aux tribunaux, autrement la primauté du droit sera remplacée par la primauté d’hommes et </w:t>
      </w:r>
      <w:r w:rsidRPr="00F52D1E">
        <w:rPr>
          <w:rFonts w:cs="Times New Roman"/>
          <w:lang w:val="fr-CA"/>
        </w:rPr>
        <w:lastRenderedPageBreak/>
        <w:t xml:space="preserve">de femmes qui décident qui peut avoir accès à la justice » : </w:t>
      </w:r>
      <w:r w:rsidRPr="00F52D1E">
        <w:rPr>
          <w:rFonts w:cs="Times New Roman"/>
          <w:i/>
          <w:lang w:val="fr-CA"/>
        </w:rPr>
        <w:t>B.C.G.E.U. c. Colombie</w:t>
      </w:r>
      <w:r w:rsidRPr="00F52D1E">
        <w:rPr>
          <w:rFonts w:cs="Times New Roman"/>
          <w:i/>
          <w:lang w:val="fr-CA"/>
        </w:rPr>
        <w:noBreakHyphen/>
        <w:t>Britannique (Procureur général)</w:t>
      </w:r>
      <w:r w:rsidRPr="00F52D1E">
        <w:rPr>
          <w:rFonts w:cs="Times New Roman"/>
          <w:lang w:val="fr-CA"/>
        </w:rPr>
        <w:t xml:space="preserve">, [1988] 2 R.C.S. 214, p. 230. En effet, si les gens ne sont pas en mesure de saisir les tribunaux de questions légitimes, cela gênera la création et le maintien de règles de droit positif, car les lois ne seront pas appliquées : </w:t>
      </w:r>
      <w:r w:rsidRPr="00F52D1E">
        <w:rPr>
          <w:rFonts w:cs="Times New Roman"/>
          <w:i/>
          <w:lang w:val="fr-CA"/>
        </w:rPr>
        <w:t>Trial Lawyers</w:t>
      </w:r>
      <w:r w:rsidR="009E2F25">
        <w:rPr>
          <w:rFonts w:cs="Times New Roman"/>
          <w:lang w:val="fr-CA"/>
        </w:rPr>
        <w:t>, par. 40.</w:t>
      </w:r>
    </w:p>
    <w:p w:rsidR="00CF3116" w:rsidRPr="00F52D1E" w:rsidRDefault="00CF3116" w:rsidP="00CF3116">
      <w:pPr>
        <w:pStyle w:val="ParaNoNdepar-AltN"/>
        <w:rPr>
          <w:rFonts w:cs="Times New Roman"/>
          <w:lang w:val="fr-CA"/>
        </w:rPr>
      </w:pPr>
      <w:r w:rsidRPr="00F52D1E">
        <w:rPr>
          <w:rFonts w:cs="Times New Roman"/>
          <w:lang w:val="fr-CA"/>
        </w:rPr>
        <w:t xml:space="preserve">Dans l’arrêt </w:t>
      </w:r>
      <w:r w:rsidRPr="00F52D1E">
        <w:rPr>
          <w:rFonts w:cs="Times New Roman"/>
          <w:i/>
          <w:lang w:val="fr-CA"/>
        </w:rPr>
        <w:t>Trial Lawyers</w:t>
      </w:r>
      <w:r w:rsidRPr="00F52D1E">
        <w:rPr>
          <w:rFonts w:cs="Times New Roman"/>
          <w:lang w:val="fr-CA"/>
        </w:rPr>
        <w:t xml:space="preserve">, notre Cour a expliqué que « [d]es mesures qui empêchent des gens de s’adresser [. . .] aux tribunaux » afin de résoudre des différends opposant des particuliers et de trancher des questions de droit privé et de droit public « vont à l’encontre de cette fonction fondamentale des cours de justice » : par. 32. « Empêcher l’exercice de ces activités », selon notre Cour, « attaque le cœur même de la compétence des cours supérieures que protège l’art. 96 de la </w:t>
      </w:r>
      <w:r w:rsidRPr="00F52D1E">
        <w:rPr>
          <w:rFonts w:cs="Times New Roman"/>
          <w:i/>
          <w:lang w:val="fr-CA"/>
        </w:rPr>
        <w:t>Loi constitutionnelle de 1867</w:t>
      </w:r>
      <w:r w:rsidRPr="00F52D1E">
        <w:rPr>
          <w:rFonts w:cs="Times New Roman"/>
          <w:lang w:val="fr-CA"/>
        </w:rPr>
        <w:t xml:space="preserve"> » : par. 32. Par conséquent, la compétence inhérente des cours supérieures, qui est protégée par l’art. 96, accorde « une certaine protection constitutionnelle à l’accès à la justice » : par. 39; voir aussi W. J. Newman, « The Rule of Law, the Separation of Powers and Judicial Independence in Canada », dans P. Oliver, P. Macklem et N. Des Rosiers, </w:t>
      </w:r>
      <w:proofErr w:type="gramStart"/>
      <w:r w:rsidRPr="00F52D1E">
        <w:rPr>
          <w:rFonts w:cs="Times New Roman"/>
          <w:lang w:val="fr-CA"/>
        </w:rPr>
        <w:t>dir.,</w:t>
      </w:r>
      <w:proofErr w:type="gramEnd"/>
      <w:r w:rsidRPr="00F52D1E">
        <w:rPr>
          <w:rFonts w:cs="Times New Roman"/>
          <w:lang w:val="fr-CA"/>
        </w:rPr>
        <w:t xml:space="preserve"> </w:t>
      </w:r>
      <w:r w:rsidRPr="00F52D1E">
        <w:rPr>
          <w:rFonts w:cs="Times New Roman"/>
          <w:i/>
          <w:lang w:val="fr-CA"/>
        </w:rPr>
        <w:t>The Oxford Handbook of the Canadian Constitution</w:t>
      </w:r>
      <w:r w:rsidR="009E2F25">
        <w:rPr>
          <w:rFonts w:cs="Times New Roman"/>
          <w:lang w:val="fr-CA"/>
        </w:rPr>
        <w:t xml:space="preserve"> (2017), 1031, p. 1037.</w:t>
      </w:r>
    </w:p>
    <w:p w:rsidR="00CF3116" w:rsidRPr="00F52D1E" w:rsidRDefault="00CF3116" w:rsidP="00CF3116">
      <w:pPr>
        <w:pStyle w:val="ParaNoNdepar-AltN"/>
        <w:rPr>
          <w:rFonts w:cs="Times New Roman"/>
          <w:lang w:val="fr-CA"/>
        </w:rPr>
      </w:pPr>
      <w:r w:rsidRPr="00F52D1E">
        <w:rPr>
          <w:rFonts w:cs="Times New Roman"/>
          <w:lang w:val="fr-CA"/>
        </w:rPr>
        <w:t xml:space="preserve">Nous reconnaissons que, sans adaptations procédurales, obliger les autochtones à introduire puis à instruire dans plusieurs forums différents des demandes en reconnaissance et en protection de droits ancestraux sur différentes parties d’un seul et même territoire traditionnel qui chevauche les frontières entre différentes provinces nuit à l’accès à la justice et mine la possibilité d’une résolution efficace et rapide d’une revendication transfrontalière de droits ancestraux. Dans ces circonstances, introduire </w:t>
      </w:r>
      <w:r w:rsidRPr="00F52D1E">
        <w:rPr>
          <w:rFonts w:cs="Times New Roman"/>
          <w:lang w:val="fr-CA"/>
        </w:rPr>
        <w:lastRenderedPageBreak/>
        <w:t>des demandes dans plusieurs forums différents afin qu’elles soient instruites séparément exigerait des autochtones qu’ils engagent d’importantes ressources dans des litiges longs et coûteux et forcerait le dédoublement d’une volumineuse preuve documentaire, orale et d’expert : mémoire des intervenants Kitigan Zibi Anishinabeg et le Conseil tribal de la nation algonquine Anishinabeg, par. 11. Ces défis pratiques constituent des obstacles qui limiteraient la capacité effective des autochtones de revendiquer des droits ancestraux sur différentes parties d’un seul et même territoire traditionnel qui chevauc</w:t>
      </w:r>
      <w:r w:rsidR="009E2F25">
        <w:rPr>
          <w:rFonts w:cs="Times New Roman"/>
          <w:lang w:val="fr-CA"/>
        </w:rPr>
        <w:t>he les frontières provinciales.</w:t>
      </w:r>
    </w:p>
    <w:p w:rsidR="00CF3116" w:rsidRPr="00F52D1E" w:rsidRDefault="00CF3116" w:rsidP="00CF3116">
      <w:pPr>
        <w:pStyle w:val="ParaNoNdepar-AltN"/>
        <w:rPr>
          <w:rFonts w:cs="Times New Roman"/>
          <w:lang w:val="fr-CA"/>
        </w:rPr>
      </w:pPr>
      <w:r w:rsidRPr="00F52D1E">
        <w:rPr>
          <w:rFonts w:cs="Times New Roman"/>
          <w:lang w:val="fr-CA"/>
        </w:rPr>
        <w:t>Cela dit, l’accès à la justice doit être réalisé dans les limites de notre ordre constitutionnel. En effet, la résolution efficace, rapide et économique d’une revendication transfrontalière de droits ancestraux</w:t>
      </w:r>
      <w:r w:rsidRPr="00F52D1E" w:rsidDel="00787C8A">
        <w:rPr>
          <w:rFonts w:cs="Times New Roman"/>
          <w:lang w:val="fr-CA"/>
        </w:rPr>
        <w:t xml:space="preserve"> </w:t>
      </w:r>
      <w:r w:rsidRPr="00F52D1E">
        <w:rPr>
          <w:rFonts w:cs="Times New Roman"/>
          <w:lang w:val="fr-CA"/>
        </w:rPr>
        <w:t xml:space="preserve">doit être assurée d’une façon qui soit compatible avec le système juridique canadien dans son ensemble. Cela ne veut pas dire, cependant, que le fédéralisme et la souveraineté de la couronne provinciale empêchent les cours supérieures, dans l’exercice de leur compétence inhérente, d’élaborer des solutions qui soient </w:t>
      </w:r>
      <w:r w:rsidRPr="00F52D1E">
        <w:rPr>
          <w:rFonts w:cs="Times New Roman"/>
          <w:i/>
          <w:lang w:val="fr-CA"/>
        </w:rPr>
        <w:t>à la fois</w:t>
      </w:r>
      <w:r w:rsidRPr="00F52D1E">
        <w:rPr>
          <w:rFonts w:cs="Times New Roman"/>
          <w:lang w:val="fr-CA"/>
        </w:rPr>
        <w:t xml:space="preserve"> créatives </w:t>
      </w:r>
      <w:r w:rsidRPr="00F52D1E">
        <w:rPr>
          <w:rFonts w:cs="Times New Roman"/>
          <w:i/>
          <w:lang w:val="fr-CA"/>
        </w:rPr>
        <w:t>et</w:t>
      </w:r>
      <w:r w:rsidRPr="00F52D1E">
        <w:rPr>
          <w:rFonts w:cs="Times New Roman"/>
          <w:lang w:val="fr-CA"/>
        </w:rPr>
        <w:t xml:space="preserve"> constitutionnelles, tout en favorisant l’accès à la justice. Comme notre Cour l’a affirmé dans </w:t>
      </w:r>
      <w:r w:rsidRPr="00F52D1E">
        <w:rPr>
          <w:rFonts w:cs="Times New Roman"/>
          <w:i/>
          <w:lang w:val="fr-CA"/>
        </w:rPr>
        <w:t>Hryniak c. Mauldin</w:t>
      </w:r>
      <w:r w:rsidRPr="00F52D1E">
        <w:rPr>
          <w:rFonts w:cs="Times New Roman"/>
          <w:lang w:val="fr-CA"/>
        </w:rPr>
        <w:t>, 2014 CSC 7, [20</w:t>
      </w:r>
      <w:r w:rsidR="0019745F">
        <w:rPr>
          <w:rFonts w:cs="Times New Roman"/>
          <w:lang w:val="fr-CA"/>
        </w:rPr>
        <w:t>14] 1 R.C.S. 87, par. 2 : « L</w:t>
      </w:r>
      <w:r w:rsidR="0019745F" w:rsidRPr="00F52D1E">
        <w:rPr>
          <w:rFonts w:cs="Times New Roman"/>
          <w:lang w:val="fr-CA"/>
        </w:rPr>
        <w:t>’</w:t>
      </w:r>
      <w:r w:rsidRPr="00F52D1E">
        <w:rPr>
          <w:rFonts w:cs="Times New Roman"/>
          <w:lang w:val="fr-CA"/>
        </w:rPr>
        <w:t>équilibre entre la procédure et l’accès à la justice qu’établit notre système de justice doit en venir à refléter la réalité contemporaine et à reconnaître que de nouveaux modèles de règlement des litiges peuve</w:t>
      </w:r>
      <w:r w:rsidR="009E2F25">
        <w:rPr>
          <w:rFonts w:cs="Times New Roman"/>
          <w:lang w:val="fr-CA"/>
        </w:rPr>
        <w:t>nt être justes et équitables ».</w:t>
      </w:r>
    </w:p>
    <w:p w:rsidR="00CF3116" w:rsidRPr="00F52D1E" w:rsidRDefault="00CF3116" w:rsidP="00CF3116">
      <w:pPr>
        <w:pStyle w:val="Title3LevelTitre3Niveau"/>
        <w:tabs>
          <w:tab w:val="clear" w:pos="1152"/>
        </w:tabs>
        <w:ind w:left="1530"/>
        <w:rPr>
          <w:rFonts w:cs="Times New Roman"/>
        </w:rPr>
      </w:pPr>
      <w:bookmarkStart w:id="120" w:name="_Toc11660760"/>
      <w:bookmarkStart w:id="121" w:name="_Toc29195622"/>
      <w:bookmarkStart w:id="122" w:name="_Toc31207776"/>
      <w:bookmarkStart w:id="123" w:name="_Toc32309438"/>
      <w:bookmarkStart w:id="124" w:name="_Toc32852593"/>
      <w:bookmarkStart w:id="125" w:name="_Toc33007307"/>
      <w:r w:rsidRPr="00F52D1E">
        <w:rPr>
          <w:rFonts w:cs="Times New Roman"/>
          <w:lang w:val="fr-CA"/>
        </w:rPr>
        <w:t>Compétence inhérente</w:t>
      </w:r>
      <w:bookmarkEnd w:id="120"/>
      <w:bookmarkEnd w:id="121"/>
      <w:bookmarkEnd w:id="122"/>
      <w:bookmarkEnd w:id="123"/>
      <w:bookmarkEnd w:id="124"/>
      <w:bookmarkEnd w:id="125"/>
    </w:p>
    <w:p w:rsidR="00CF3116" w:rsidRPr="00F52D1E" w:rsidRDefault="00CF3116" w:rsidP="00CF3116">
      <w:pPr>
        <w:pStyle w:val="ParaNoNdepar-AltN"/>
        <w:rPr>
          <w:rFonts w:cs="Times New Roman"/>
          <w:lang w:val="fr-CA"/>
        </w:rPr>
      </w:pPr>
      <w:r w:rsidRPr="00F52D1E">
        <w:rPr>
          <w:rFonts w:cs="Times New Roman"/>
          <w:lang w:val="fr-CA"/>
        </w:rPr>
        <w:t xml:space="preserve">Dans </w:t>
      </w:r>
      <w:r w:rsidRPr="00F52D1E">
        <w:rPr>
          <w:rFonts w:cs="Times New Roman"/>
          <w:i/>
          <w:lang w:val="fr-CA"/>
        </w:rPr>
        <w:t>Endean c. Colombie</w:t>
      </w:r>
      <w:r w:rsidRPr="00F52D1E">
        <w:rPr>
          <w:rFonts w:cs="Times New Roman"/>
          <w:i/>
          <w:lang w:val="fr-CA"/>
        </w:rPr>
        <w:noBreakHyphen/>
        <w:t>Britannique</w:t>
      </w:r>
      <w:r w:rsidRPr="00F52D1E">
        <w:rPr>
          <w:rFonts w:cs="Times New Roman"/>
          <w:lang w:val="fr-CA"/>
        </w:rPr>
        <w:t xml:space="preserve">, </w:t>
      </w:r>
      <w:r w:rsidR="003F24BA">
        <w:rPr>
          <w:rFonts w:cs="Times New Roman"/>
          <w:lang w:val="fr-CA"/>
        </w:rPr>
        <w:t>2016 CSC 42, [2016] 2 R.C.S. 162</w:t>
      </w:r>
      <w:r w:rsidRPr="00F52D1E">
        <w:rPr>
          <w:rFonts w:cs="Times New Roman"/>
          <w:lang w:val="fr-CA"/>
        </w:rPr>
        <w:t xml:space="preserve">, notre Cour s’est fondée sur la compétence inhérente des cours supérieures provinciales </w:t>
      </w:r>
      <w:r w:rsidRPr="00F52D1E">
        <w:rPr>
          <w:rFonts w:cs="Times New Roman"/>
          <w:lang w:val="fr-CA"/>
        </w:rPr>
        <w:lastRenderedPageBreak/>
        <w:t xml:space="preserve">afin de faciliter l’accès à la justice </w:t>
      </w:r>
      <w:r w:rsidR="000D363E">
        <w:rPr>
          <w:rFonts w:cs="Times New Roman"/>
          <w:lang w:val="fr-CA"/>
        </w:rPr>
        <w:t>en contexte de procédures multi</w:t>
      </w:r>
      <w:r w:rsidRPr="00F52D1E">
        <w:rPr>
          <w:rFonts w:cs="Times New Roman"/>
          <w:lang w:val="fr-CA"/>
        </w:rPr>
        <w:t xml:space="preserve">juridictionnelles. En effet, dans </w:t>
      </w:r>
      <w:r w:rsidRPr="00F52D1E">
        <w:rPr>
          <w:rFonts w:cs="Times New Roman"/>
          <w:i/>
          <w:lang w:val="fr-CA"/>
        </w:rPr>
        <w:t>Endean</w:t>
      </w:r>
      <w:r w:rsidRPr="00F52D1E">
        <w:rPr>
          <w:rFonts w:cs="Times New Roman"/>
          <w:lang w:val="fr-CA"/>
        </w:rPr>
        <w:t>, les cours supérieures de la Colombie</w:t>
      </w:r>
      <w:r w:rsidRPr="00F52D1E">
        <w:rPr>
          <w:rFonts w:cs="Times New Roman"/>
          <w:lang w:val="fr-CA"/>
        </w:rPr>
        <w:noBreakHyphen/>
        <w:t>Britannique, du Québec et de l’Ontario avaient autorisé l’introduction de recours collectifs concomitants au nom de personnes ayant été infectées par l’hépatite C à la suite de transfusions sanguines reçues au Canada. Les parties avaient conclu une convention de règlement pancanadienne, et les juges des trois cours supérieures chargés de la supervision de la convention de règlement avaient été saisis de requêtes s’y rapportant. Comme la Cour le notait, « [l]es conseillers juridiques estimaient que la procédure la plus efficace et efficiente pour trancher ces requêtes serait de faire siéger ensemble les trois juges superviseurs des cours supérieures à un seul endroit pour qu’ils puissent ainsi entendre les mêmes arguments et être mieux en mesure de rendre des ordonnances sans “différence importance”. Les juges superviseurs devaient juger les requêtes sur dossier » : par. 10. La question en litige devant notre Cour portait sur la source de ce pouvoir discrétionnaire des juges des cours supérieures de siéger ensemble à l’extérieur de leur provi</w:t>
      </w:r>
      <w:r w:rsidR="009E2F25">
        <w:rPr>
          <w:rFonts w:cs="Times New Roman"/>
          <w:lang w:val="fr-CA"/>
        </w:rPr>
        <w:t>nce de rattachement respective.</w:t>
      </w:r>
    </w:p>
    <w:p w:rsidR="00CF3116" w:rsidRPr="00F52D1E" w:rsidRDefault="00CF3116" w:rsidP="00CF3116">
      <w:pPr>
        <w:pStyle w:val="ParaNoNdepar-AltN"/>
        <w:rPr>
          <w:rFonts w:cs="Times New Roman"/>
          <w:lang w:val="fr-CA"/>
        </w:rPr>
      </w:pPr>
      <w:r w:rsidRPr="00F52D1E">
        <w:rPr>
          <w:rFonts w:cs="Times New Roman"/>
          <w:lang w:val="fr-CA"/>
        </w:rPr>
        <w:t xml:space="preserve">Notre Cour a conclu que les lois pertinentes sur les recours collectifs conféraient aux juges des cours supérieures le pouvoir discrétionnaire de siéger ensemble à l’extérieur de leur province de rattachement. Les tribunaux devraient s’appuyer sur les pouvoirs que la loi leur confère avant d’exercer leur compétence inhérente, puisque le caractère vague et général de cette compétence fait en sorte qu’il faut l’exercer « avec circonspection » : </w:t>
      </w:r>
      <w:r w:rsidRPr="00F52D1E">
        <w:rPr>
          <w:rFonts w:cs="Times New Roman"/>
          <w:i/>
          <w:lang w:val="fr-CA"/>
        </w:rPr>
        <w:t>Endean</w:t>
      </w:r>
      <w:r w:rsidRPr="00F52D1E">
        <w:rPr>
          <w:rFonts w:cs="Times New Roman"/>
          <w:lang w:val="fr-CA"/>
        </w:rPr>
        <w:t xml:space="preserve">, par. 24. Cependant, si la loi n’a pas conféré un tel pouvoir discrétionnaire, la compétence inhérente des cours supérieures constitue une « source résiduelle de pouvoirs » qui autoriserait les juges des cours supérieures à tenir des audiences hors des limites territoriales de leur province de </w:t>
      </w:r>
      <w:r w:rsidRPr="00F52D1E">
        <w:rPr>
          <w:rFonts w:cs="Times New Roman"/>
          <w:lang w:val="fr-CA"/>
        </w:rPr>
        <w:lastRenderedPageBreak/>
        <w:t xml:space="preserve">rattachement : </w:t>
      </w:r>
      <w:r w:rsidRPr="00F52D1E">
        <w:rPr>
          <w:rFonts w:cs="Times New Roman"/>
          <w:i/>
          <w:lang w:val="fr-CA"/>
        </w:rPr>
        <w:t>Endean</w:t>
      </w:r>
      <w:r w:rsidRPr="00F52D1E">
        <w:rPr>
          <w:rFonts w:cs="Times New Roman"/>
          <w:lang w:val="fr-CA"/>
        </w:rPr>
        <w:t>, par. 23 et 60. En somme, « la compétence inhérente habilite les cours supérieures notamment à contrôler leur procédure de manière à garantir la commodité, la célérité et l’efficacité de l’administra</w:t>
      </w:r>
      <w:r w:rsidR="009E2F25">
        <w:rPr>
          <w:rFonts w:cs="Times New Roman"/>
          <w:lang w:val="fr-CA"/>
        </w:rPr>
        <w:t>tion de la justice » : par. 60.</w:t>
      </w:r>
    </w:p>
    <w:p w:rsidR="00CF3116" w:rsidRPr="00F52D1E" w:rsidRDefault="00CF3116" w:rsidP="00CF3116">
      <w:pPr>
        <w:pStyle w:val="ParaNoNdepar-AltN"/>
        <w:rPr>
          <w:rFonts w:cs="Times New Roman"/>
          <w:lang w:val="fr-CA"/>
        </w:rPr>
      </w:pPr>
      <w:r w:rsidRPr="00F52D1E">
        <w:rPr>
          <w:rFonts w:cs="Times New Roman"/>
          <w:lang w:val="fr-CA"/>
        </w:rPr>
        <w:t xml:space="preserve">La compétence inhérente des cours supérieures est toutefois assujettie aux « contraintes fixées par la Constitution » qui peuvent limiter la capacité des cours supérieures d’exercer leurs pouvoirs inhérents : par. 62 et 79. Lorsqu’un juge d’une cour supérieure est appelé à se prononcer sur l’opportunité de tenir une audience à l’extérieur de sa province de rattachement conjointement avec d’autres juges de cours supérieures saisis de demandes connexes, il devrait garder à l’esprit les facteurs généraux suivants : </w:t>
      </w:r>
      <w:r w:rsidR="007F5847">
        <w:rPr>
          <w:rFonts w:cs="Times New Roman"/>
          <w:lang w:val="fr-CA"/>
        </w:rPr>
        <w:t>(</w:t>
      </w:r>
      <w:r w:rsidRPr="00F52D1E">
        <w:rPr>
          <w:rFonts w:cs="Times New Roman"/>
          <w:lang w:val="fr-CA"/>
        </w:rPr>
        <w:t xml:space="preserve">1) si le fait de siéger dans une province autre que la sienne portera atteinte à la souveraineté de cette autre province, </w:t>
      </w:r>
      <w:r w:rsidR="007F5847">
        <w:rPr>
          <w:rFonts w:cs="Times New Roman"/>
          <w:lang w:val="fr-CA"/>
        </w:rPr>
        <w:t>(</w:t>
      </w:r>
      <w:r w:rsidRPr="00F52D1E">
        <w:rPr>
          <w:rFonts w:cs="Times New Roman"/>
          <w:lang w:val="fr-CA"/>
        </w:rPr>
        <w:t xml:space="preserve">2) les avantages et les coûts de la tenue de l’audience projetée à l’extérieur de la province, et </w:t>
      </w:r>
      <w:r w:rsidR="007F5847">
        <w:rPr>
          <w:rFonts w:cs="Times New Roman"/>
          <w:lang w:val="fr-CA"/>
        </w:rPr>
        <w:t>(</w:t>
      </w:r>
      <w:r w:rsidRPr="00F52D1E">
        <w:rPr>
          <w:rFonts w:cs="Times New Roman"/>
          <w:lang w:val="fr-CA"/>
        </w:rPr>
        <w:t>3) toute condition qui devrait être imposé</w:t>
      </w:r>
      <w:r w:rsidR="009E2F25">
        <w:rPr>
          <w:rFonts w:cs="Times New Roman"/>
          <w:lang w:val="fr-CA"/>
        </w:rPr>
        <w:t>e, le cas échéant : par. 73</w:t>
      </w:r>
      <w:r w:rsidR="009E2F25">
        <w:rPr>
          <w:rFonts w:cs="Times New Roman"/>
          <w:lang w:val="fr-CA"/>
        </w:rPr>
        <w:noBreakHyphen/>
        <w:t>75.</w:t>
      </w:r>
    </w:p>
    <w:p w:rsidR="00CF3116" w:rsidRPr="00F52D1E" w:rsidRDefault="00CF3116" w:rsidP="00CF3116">
      <w:pPr>
        <w:pStyle w:val="ParaNoNdepar-AltN"/>
        <w:rPr>
          <w:rFonts w:cs="Times New Roman"/>
          <w:lang w:val="fr-CA"/>
        </w:rPr>
      </w:pPr>
      <w:r w:rsidRPr="00F52D1E">
        <w:rPr>
          <w:rFonts w:cs="Times New Roman"/>
          <w:lang w:val="fr-CA"/>
        </w:rPr>
        <w:t>Cette énumération n’est pas exhaustive; ainsi, d’autres facteurs et d’autres questions pourront entrer en jeu selon les circonstances des affaires en cause : par. 76. Cependant, il importe selon nous de souligner que l’hypothèse qui sous</w:t>
      </w:r>
      <w:r w:rsidRPr="00F52D1E">
        <w:rPr>
          <w:rFonts w:cs="Times New Roman"/>
          <w:lang w:val="fr-CA"/>
        </w:rPr>
        <w:noBreakHyphen/>
        <w:t xml:space="preserve">tend tous ces facteurs est que chaque juge de cour supérieure aurait compétence </w:t>
      </w:r>
      <w:r w:rsidRPr="00F52D1E">
        <w:rPr>
          <w:rFonts w:cs="Times New Roman"/>
          <w:i/>
          <w:lang w:val="fr-CA"/>
        </w:rPr>
        <w:t>ratione materiae</w:t>
      </w:r>
      <w:r w:rsidRPr="00F52D1E">
        <w:rPr>
          <w:rFonts w:cs="Times New Roman"/>
          <w:lang w:val="fr-CA"/>
        </w:rPr>
        <w:t xml:space="preserve"> et </w:t>
      </w:r>
      <w:r w:rsidRPr="00F52D1E">
        <w:rPr>
          <w:rFonts w:cs="Times New Roman"/>
          <w:i/>
          <w:lang w:val="fr-CA"/>
        </w:rPr>
        <w:t>ratione personae</w:t>
      </w:r>
      <w:r w:rsidRPr="00F52D1E">
        <w:rPr>
          <w:rFonts w:cs="Times New Roman"/>
          <w:lang w:val="fr-CA"/>
        </w:rPr>
        <w:t xml:space="preserve"> sur les parties et sur les questions en litige si l’audience avait lieu dans sa prov</w:t>
      </w:r>
      <w:r w:rsidR="009E2F25">
        <w:rPr>
          <w:rFonts w:cs="Times New Roman"/>
          <w:lang w:val="fr-CA"/>
        </w:rPr>
        <w:t>ince de rattachement : par. 72.</w:t>
      </w:r>
    </w:p>
    <w:p w:rsidR="00CF3116" w:rsidRPr="00F52D1E" w:rsidRDefault="00CF3116" w:rsidP="00CF3116">
      <w:pPr>
        <w:pStyle w:val="ParaNoNdepar-AltN"/>
        <w:rPr>
          <w:rFonts w:cs="Times New Roman"/>
          <w:lang w:val="fr-CA"/>
        </w:rPr>
      </w:pPr>
      <w:r w:rsidRPr="00F52D1E">
        <w:rPr>
          <w:rFonts w:cs="Times New Roman"/>
          <w:lang w:val="fr-CA"/>
        </w:rPr>
        <w:t xml:space="preserve">À notre avis, la décision de notre Cour dans l’affaire </w:t>
      </w:r>
      <w:r w:rsidRPr="00F52D1E">
        <w:rPr>
          <w:rFonts w:cs="Times New Roman"/>
          <w:i/>
          <w:lang w:val="fr-CA"/>
        </w:rPr>
        <w:t>Endean</w:t>
      </w:r>
      <w:r w:rsidRPr="00F52D1E">
        <w:rPr>
          <w:rFonts w:cs="Times New Roman"/>
          <w:lang w:val="fr-CA"/>
        </w:rPr>
        <w:t xml:space="preserve"> autorise les juges des cours supérieures de différentes provinces à puiser à même la compétence qui leur est conférée par la loi ⸺ ou, si nécessaire, à même leur compétence inhérente </w:t>
      </w:r>
      <w:r w:rsidRPr="00F52D1E">
        <w:rPr>
          <w:rFonts w:cs="Times New Roman"/>
          <w:lang w:val="fr-CA"/>
        </w:rPr>
        <w:lastRenderedPageBreak/>
        <w:t xml:space="preserve">⸺ afin de siéger ensemble pour entendre conjointement des demandes qui ont été introduites devant les cours supérieures de plus d’une province du fait qu’elles visent la reconnaissance et la protection de droits ancestraux sur différentes parties d’un seul et même territoire traditionnel qui chevauche les </w:t>
      </w:r>
      <w:r w:rsidR="009E2F25">
        <w:rPr>
          <w:rFonts w:cs="Times New Roman"/>
          <w:lang w:val="fr-CA"/>
        </w:rPr>
        <w:t>frontières entre ces provinces.</w:t>
      </w:r>
    </w:p>
    <w:p w:rsidR="00CF3116" w:rsidRPr="00F52D1E" w:rsidRDefault="00CF3116" w:rsidP="00CF3116">
      <w:pPr>
        <w:pStyle w:val="ParaNoNdepar-AltN"/>
        <w:rPr>
          <w:rFonts w:cs="Times New Roman"/>
          <w:lang w:val="fr-CA"/>
        </w:rPr>
      </w:pPr>
      <w:r w:rsidRPr="00F52D1E">
        <w:rPr>
          <w:rFonts w:cs="Times New Roman"/>
          <w:lang w:val="fr-CA"/>
        </w:rPr>
        <w:t xml:space="preserve">Chose certaine, dans l’arrêt </w:t>
      </w:r>
      <w:r w:rsidRPr="00F52D1E">
        <w:rPr>
          <w:rFonts w:cs="Times New Roman"/>
          <w:i/>
          <w:lang w:val="fr-CA"/>
        </w:rPr>
        <w:t>Endean</w:t>
      </w:r>
      <w:r w:rsidRPr="00F52D1E">
        <w:rPr>
          <w:rFonts w:cs="Times New Roman"/>
          <w:lang w:val="fr-CA"/>
        </w:rPr>
        <w:t xml:space="preserve">, notre Cour n’a </w:t>
      </w:r>
      <w:r w:rsidRPr="00F52D1E">
        <w:rPr>
          <w:rFonts w:cs="Times New Roman"/>
          <w:i/>
          <w:lang w:val="fr-CA"/>
        </w:rPr>
        <w:t>aucunement</w:t>
      </w:r>
      <w:r w:rsidRPr="00F52D1E">
        <w:rPr>
          <w:rFonts w:cs="Times New Roman"/>
          <w:lang w:val="fr-CA"/>
        </w:rPr>
        <w:t xml:space="preserve"> limité ses conclusio</w:t>
      </w:r>
      <w:r w:rsidR="000D363E">
        <w:rPr>
          <w:rFonts w:cs="Times New Roman"/>
          <w:lang w:val="fr-CA"/>
        </w:rPr>
        <w:t>ns aux recours collectifs multi</w:t>
      </w:r>
      <w:r w:rsidRPr="00F52D1E">
        <w:rPr>
          <w:rFonts w:cs="Times New Roman"/>
          <w:lang w:val="fr-CA"/>
        </w:rPr>
        <w:t>juridictionnels. Comme le note le professeur Hogg, [</w:t>
      </w:r>
      <w:r w:rsidRPr="00F52D1E">
        <w:rPr>
          <w:rFonts w:cs="Times New Roman"/>
          <w:smallCaps/>
          <w:lang w:val="fr-CA"/>
        </w:rPr>
        <w:t>traduction</w:t>
      </w:r>
      <w:r w:rsidRPr="00F52D1E">
        <w:rPr>
          <w:rFonts w:cs="Times New Roman"/>
          <w:lang w:val="fr-CA"/>
        </w:rPr>
        <w:t xml:space="preserve">] « la décision sur la compétence inhérente [dans </w:t>
      </w:r>
      <w:r w:rsidRPr="00F52D1E">
        <w:rPr>
          <w:rFonts w:cs="Times New Roman"/>
          <w:i/>
          <w:lang w:val="fr-CA"/>
        </w:rPr>
        <w:t>Endean</w:t>
      </w:r>
      <w:r w:rsidRPr="00F52D1E">
        <w:rPr>
          <w:rFonts w:cs="Times New Roman"/>
          <w:lang w:val="fr-CA"/>
        </w:rPr>
        <w:t>] a clairement établi que le pouvoir d’un juge d’une cour supérieure de siéger hors de la province existerait même dans une procédure qui n’est pas une action collective » : p. 13</w:t>
      </w:r>
      <w:r w:rsidRPr="00F52D1E">
        <w:rPr>
          <w:rFonts w:cs="Times New Roman"/>
          <w:lang w:val="fr-CA"/>
        </w:rPr>
        <w:noBreakHyphen/>
        <w:t xml:space="preserve">30.2. Lorsque des demandes visant à faire reconnaître et à protéger des droits ancestraux reposent sur des activités ayant eu lieu sur un seul et même territoire traditionnel qui chevauche les frontières entre différentes provinces, la preuve devant les cours supérieures de ces provinces sera souvent la même, de sorte que le dossier en résultant sera aussi souvent le même. Dans ces circonstances, et sous réserve d’autres facteurs, si les juges des cours supérieures siègent ensemble au cours d’une seule et même audience conjointe résultant d’une jonction des demandes introduites devant chacune des cours supérieures concernées, une revendication transfrontalière de droits ancestraux a de meilleurs chances d’être résolue de manière </w:t>
      </w:r>
      <w:r w:rsidR="009E2F25">
        <w:rPr>
          <w:rFonts w:cs="Times New Roman"/>
          <w:lang w:val="fr-CA"/>
        </w:rPr>
        <w:t>efficace, rapide et économique.</w:t>
      </w:r>
    </w:p>
    <w:p w:rsidR="00CF3116" w:rsidRPr="00F52D1E" w:rsidRDefault="00CF3116" w:rsidP="00CF3116">
      <w:pPr>
        <w:pStyle w:val="ParaNoNdepar-AltN"/>
        <w:rPr>
          <w:rFonts w:cs="Times New Roman"/>
          <w:lang w:val="fr-CA"/>
        </w:rPr>
      </w:pPr>
      <w:r w:rsidRPr="00F52D1E">
        <w:rPr>
          <w:rFonts w:cs="Times New Roman"/>
          <w:lang w:val="fr-CA"/>
        </w:rPr>
        <w:t>Chaque juge doit, bien sûr, demeurer libre de parvenir à sa propre décision sur le fond. Le bien</w:t>
      </w:r>
      <w:r w:rsidRPr="00F52D1E">
        <w:rPr>
          <w:rFonts w:cs="Times New Roman"/>
          <w:lang w:val="fr-CA"/>
        </w:rPr>
        <w:noBreakHyphen/>
        <w:t xml:space="preserve">fondé d’une revendication de droits ancestraux « doit être établi sur la base de preuves convaincantes selon la prépondérance des probabilités »; par conséquent « [d]es preuves éparses, incertaines et équivoques ne peuvent établir le </w:t>
      </w:r>
      <w:r w:rsidRPr="00F52D1E">
        <w:rPr>
          <w:rFonts w:cs="Times New Roman"/>
          <w:lang w:val="fr-CA"/>
        </w:rPr>
        <w:lastRenderedPageBreak/>
        <w:t>bien</w:t>
      </w:r>
      <w:r w:rsidRPr="00F52D1E">
        <w:rPr>
          <w:rFonts w:cs="Times New Roman"/>
          <w:lang w:val="fr-CA"/>
        </w:rPr>
        <w:noBreakHyphen/>
        <w:t xml:space="preserve">fondé d’une revendication » : </w:t>
      </w:r>
      <w:r w:rsidRPr="00F52D1E">
        <w:rPr>
          <w:rFonts w:cs="Times New Roman"/>
          <w:i/>
          <w:lang w:val="fr-CA"/>
        </w:rPr>
        <w:t>Mitchell</w:t>
      </w:r>
      <w:r w:rsidRPr="00F52D1E">
        <w:rPr>
          <w:rFonts w:cs="Times New Roman"/>
          <w:lang w:val="fr-CA"/>
        </w:rPr>
        <w:t xml:space="preserve">, par. 51; voir aussi </w:t>
      </w:r>
      <w:r w:rsidRPr="00F52D1E">
        <w:rPr>
          <w:rFonts w:cs="Times New Roman"/>
          <w:i/>
          <w:lang w:val="fr-CA"/>
        </w:rPr>
        <w:t>Bande Kitkatla c. Colombie</w:t>
      </w:r>
      <w:r w:rsidRPr="00F52D1E">
        <w:rPr>
          <w:rFonts w:cs="Times New Roman"/>
          <w:i/>
          <w:lang w:val="fr-CA"/>
        </w:rPr>
        <w:noBreakHyphen/>
        <w:t>Britannique (Ministre des Petites et moyennes entreprises, du Tourisme et de la Culture)</w:t>
      </w:r>
      <w:r w:rsidRPr="00F52D1E">
        <w:rPr>
          <w:rFonts w:cs="Times New Roman"/>
          <w:lang w:val="fr-CA"/>
        </w:rPr>
        <w:t>, 2002 CSC 31, [2002] 2 R.C.S. 146, par. 46. « Pour déterminer si le bien</w:t>
      </w:r>
      <w:r w:rsidRPr="00F52D1E">
        <w:rPr>
          <w:rFonts w:cs="Times New Roman"/>
          <w:lang w:val="fr-CA"/>
        </w:rPr>
        <w:noBreakHyphen/>
        <w:t xml:space="preserve">fondé de la revendication d’un droit ancestral a été établi, les tribunaux doivent considérer </w:t>
      </w:r>
      <w:r w:rsidRPr="00F52D1E">
        <w:rPr>
          <w:rFonts w:cs="Times New Roman"/>
          <w:i/>
          <w:lang w:val="fr-CA"/>
        </w:rPr>
        <w:t xml:space="preserve">et </w:t>
      </w:r>
      <w:r w:rsidRPr="00F52D1E">
        <w:rPr>
          <w:rFonts w:cs="Times New Roman"/>
          <w:lang w:val="fr-CA"/>
        </w:rPr>
        <w:t xml:space="preserve">les rapports qu’entretient le demandeur autochtone avec le territoire </w:t>
      </w:r>
      <w:r w:rsidRPr="00F52D1E">
        <w:rPr>
          <w:rFonts w:cs="Times New Roman"/>
          <w:i/>
          <w:lang w:val="fr-CA"/>
        </w:rPr>
        <w:t>et</w:t>
      </w:r>
      <w:r w:rsidRPr="00F52D1E">
        <w:rPr>
          <w:rFonts w:cs="Times New Roman"/>
          <w:lang w:val="fr-CA"/>
        </w:rPr>
        <w:t xml:space="preserve"> les coutumes, pratiques et traditions de la société à laquelle il appartient et de la culture distinctive de cette société » : </w:t>
      </w:r>
      <w:r w:rsidRPr="00F52D1E">
        <w:rPr>
          <w:rFonts w:cs="Times New Roman"/>
          <w:i/>
          <w:lang w:val="fr-CA"/>
        </w:rPr>
        <w:t>Van der Peet</w:t>
      </w:r>
      <w:r w:rsidRPr="00F52D1E">
        <w:rPr>
          <w:rFonts w:cs="Times New Roman"/>
          <w:lang w:val="fr-CA"/>
        </w:rPr>
        <w:t>, par. 74. La preuve présentée au soutien d’une revendication de droits ancestraux peut être plus forte à l’égard du territoire d’une province que d’une autre. Même si les juges des cours supérieures entendront la même preuve, chacun d’entre eux arrivera à des conclusions factuelles et juridiques à la lumière des circonstances propres à sa province de rattachement. Bref, chaque juge conserve le pouvoir de décider l’affaire au fond sur la base de l</w:t>
      </w:r>
      <w:r w:rsidR="009E2F25">
        <w:rPr>
          <w:rFonts w:cs="Times New Roman"/>
          <w:lang w:val="fr-CA"/>
        </w:rPr>
        <w:t>a preuve qui lui est présentée.</w:t>
      </w:r>
    </w:p>
    <w:p w:rsidR="00CF3116" w:rsidRPr="00F52D1E" w:rsidRDefault="00CF3116" w:rsidP="00CF3116">
      <w:pPr>
        <w:pStyle w:val="ParaNoNdepar-AltN"/>
        <w:rPr>
          <w:rFonts w:cs="Times New Roman"/>
          <w:lang w:val="fr-CA"/>
        </w:rPr>
      </w:pPr>
      <w:r w:rsidRPr="00F52D1E">
        <w:rPr>
          <w:rFonts w:cs="Times New Roman"/>
          <w:lang w:val="fr-CA"/>
        </w:rPr>
        <w:t xml:space="preserve">Les trois facteurs généraux énumérés dans </w:t>
      </w:r>
      <w:r w:rsidRPr="00F52D1E">
        <w:rPr>
          <w:rFonts w:cs="Times New Roman"/>
          <w:i/>
          <w:lang w:val="fr-CA"/>
        </w:rPr>
        <w:t>Endean</w:t>
      </w:r>
      <w:r w:rsidRPr="00F52D1E">
        <w:rPr>
          <w:rFonts w:cs="Times New Roman"/>
          <w:lang w:val="fr-CA"/>
        </w:rPr>
        <w:t xml:space="preserve"> (c.</w:t>
      </w:r>
      <w:r w:rsidRPr="00F52D1E">
        <w:rPr>
          <w:rFonts w:cs="Times New Roman"/>
          <w:lang w:val="fr-CA"/>
        </w:rPr>
        <w:noBreakHyphen/>
        <w:t>à</w:t>
      </w:r>
      <w:r w:rsidRPr="00F52D1E">
        <w:rPr>
          <w:rFonts w:cs="Times New Roman"/>
          <w:lang w:val="fr-CA"/>
        </w:rPr>
        <w:noBreakHyphen/>
        <w:t xml:space="preserve">d. la souveraineté des autres provinces, les avantages et les coûts de la tenue de l’audience projetée à l’extérieur de la province ainsi que toute condition qui devrait être imposée) pourraient aussi guider un juge d’une cour supérieure appelé à se prononcer sur l’opportunité d’entendre conjointement avec d’autres juges de cours supérieures des demandes connexes en matière de droits ancestraux. Cependant, la nature unique des revendications de droits ancestraux signifie que le second facteur énuméré dans </w:t>
      </w:r>
      <w:r w:rsidRPr="00F52D1E">
        <w:rPr>
          <w:rFonts w:cs="Times New Roman"/>
          <w:i/>
          <w:lang w:val="fr-CA"/>
        </w:rPr>
        <w:t>Endean</w:t>
      </w:r>
      <w:r w:rsidRPr="00F52D1E">
        <w:rPr>
          <w:rFonts w:cs="Times New Roman"/>
          <w:lang w:val="fr-CA"/>
        </w:rPr>
        <w:t xml:space="preserve"> — les avantages et les coûts de la tenue de l’audience projetée à l’extérieur de la province — favorisera généralement la tenue d’une seule et même audience conjointe afin que de telles demandes connexes puissent être instruites en même temp</w:t>
      </w:r>
      <w:r w:rsidR="009E2F25">
        <w:rPr>
          <w:rFonts w:cs="Times New Roman"/>
          <w:lang w:val="fr-CA"/>
        </w:rPr>
        <w:t>s et jugées sur la même preuve.</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L’article 35 de la </w:t>
      </w:r>
      <w:r w:rsidRPr="00F52D1E">
        <w:rPr>
          <w:rFonts w:cs="Times New Roman"/>
          <w:i/>
          <w:lang w:val="fr-CA"/>
        </w:rPr>
        <w:t>Loi constitutionnelle de 1982</w:t>
      </w:r>
      <w:r w:rsidRPr="00F52D1E">
        <w:rPr>
          <w:rFonts w:cs="Times New Roman"/>
          <w:lang w:val="fr-CA"/>
        </w:rPr>
        <w:t xml:space="preserve"> constitutionnalise le droit des peuples autochtones de revendiquer un titre ancestral et d’autres droits ancestraux au Canada. Les revendications de droits ancestraux sont longues, complexes, et génèrent une énorme quantité d’éléments de preuve : voir, par exemple, </w:t>
      </w:r>
      <w:r w:rsidRPr="00F52D1E">
        <w:rPr>
          <w:rFonts w:cs="Times New Roman"/>
          <w:i/>
          <w:lang w:val="fr-CA"/>
        </w:rPr>
        <w:t>Delgamuukw</w:t>
      </w:r>
      <w:r w:rsidRPr="00F52D1E">
        <w:rPr>
          <w:rFonts w:cs="Times New Roman"/>
          <w:lang w:val="fr-CA"/>
        </w:rPr>
        <w:t xml:space="preserve">, par. 89. Une telle preuve peut comprendre des récits oraux et d’autres témoignages résultant de la connaissance personnelle de certains témoins. Comme l’a très justement résumé la juge Satanove dans </w:t>
      </w:r>
      <w:r w:rsidRPr="00F52D1E">
        <w:rPr>
          <w:rFonts w:cs="Times New Roman"/>
          <w:i/>
          <w:lang w:val="fr-CA"/>
        </w:rPr>
        <w:t>Hereditary Chiefs Tony Hunt c. Attorney General of Canada</w:t>
      </w:r>
      <w:r w:rsidRPr="00F52D1E">
        <w:rPr>
          <w:rFonts w:cs="Times New Roman"/>
          <w:lang w:val="fr-CA"/>
        </w:rPr>
        <w:t>, 200</w:t>
      </w:r>
      <w:r w:rsidR="009E2F25">
        <w:rPr>
          <w:rFonts w:cs="Times New Roman"/>
          <w:lang w:val="fr-CA"/>
        </w:rPr>
        <w:t>6 BCSC 1368, par. 26 (CanLII) :</w:t>
      </w:r>
    </w:p>
    <w:p w:rsidR="00CF3116" w:rsidRPr="00F52D1E" w:rsidRDefault="00CF3116" w:rsidP="00CF3116">
      <w:pPr>
        <w:pStyle w:val="Citation-AltC"/>
        <w:ind w:firstLine="274"/>
        <w:rPr>
          <w:lang w:val="fr-CA"/>
        </w:rPr>
      </w:pPr>
      <w:r w:rsidRPr="00F52D1E">
        <w:rPr>
          <w:lang w:val="fr-CA"/>
        </w:rPr>
        <w:t>[</w:t>
      </w:r>
      <w:r w:rsidRPr="00F52D1E">
        <w:rPr>
          <w:smallCaps/>
          <w:lang w:val="fr-CA"/>
        </w:rPr>
        <w:t>traduction</w:t>
      </w:r>
      <w:r w:rsidRPr="00F52D1E">
        <w:rPr>
          <w:lang w:val="fr-CA"/>
        </w:rPr>
        <w:t xml:space="preserve">] Je pense qu’il faut reconnaître que tout comme les droits des autochtones sont </w:t>
      </w:r>
      <w:r w:rsidRPr="00F52D1E">
        <w:rPr>
          <w:i/>
          <w:lang w:val="fr-CA"/>
        </w:rPr>
        <w:t>sui generis</w:t>
      </w:r>
      <w:r w:rsidRPr="00F52D1E">
        <w:rPr>
          <w:lang w:val="fr-CA"/>
        </w:rPr>
        <w:t xml:space="preserve">, les litiges relatifs aux droits des autochtones sont également uniques. Ils renvoient à des centaines d’années d’histoire et font parfois appel à des techniques non conventionnelles de recherche des faits. Ils réfèrent à des concepts juridiques nobles mais souvent insaisissables, tels que le devoir fiduciaire et l’honneur de la Couronne. Nous ne pouvons pas simplement considérer les revendications des autochtones avec le même regard que les autres litiges civils. Je pense qu’une gestion efficace des litiges autochtones exige un effort de la part de toutes les parties et du tribunal pour trouver une manière créative de juger les questions en litige sans invoquer une conduite oppressive qui dissuade les demandeurs ou </w:t>
      </w:r>
      <w:r w:rsidR="009E2F25">
        <w:rPr>
          <w:lang w:val="fr-CA"/>
        </w:rPr>
        <w:t>porte préjudice aux défendeurs.</w:t>
      </w:r>
    </w:p>
    <w:p w:rsidR="00CF3116" w:rsidRPr="00F52D1E" w:rsidRDefault="00CF3116" w:rsidP="00CF3116">
      <w:pPr>
        <w:pStyle w:val="ParaNoNdepar-AltN"/>
        <w:rPr>
          <w:rFonts w:cs="Times New Roman"/>
          <w:lang w:val="fr-CA"/>
        </w:rPr>
      </w:pPr>
      <w:r w:rsidRPr="00F52D1E">
        <w:rPr>
          <w:rFonts w:cs="Times New Roman"/>
          <w:lang w:val="fr-CA"/>
        </w:rPr>
        <w:t xml:space="preserve">En l’absence de circonstances exceptionnelles, les intérêts généraux de l’administration de la justice favoriseraient également, et généralement, la tenue d’une seule et même audience conjointe afin que des demandes connexes visant la reconnaissance et la protection de droits ancestraux sur différentes parties d’un seul et même territoire traditionnel qui chevauche les frontières entre différentes provinces puissent être instruites en même temps et jugées sur la même preuve. En effet, les juges des cours supérieures ont l’obligation de « gérer activement le processus judiciaire dans le respect du principe de la proportionnalité » : </w:t>
      </w:r>
      <w:r w:rsidRPr="00F52D1E">
        <w:rPr>
          <w:rFonts w:cs="Times New Roman"/>
          <w:i/>
          <w:lang w:val="fr-CA"/>
        </w:rPr>
        <w:t>Hryniak</w:t>
      </w:r>
      <w:r w:rsidR="009E2F25">
        <w:rPr>
          <w:rFonts w:cs="Times New Roman"/>
          <w:lang w:val="fr-CA"/>
        </w:rPr>
        <w:t>, par. 32.</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Le pouvoir conféré par la loi au juge d’une cour supérieure de participer à une telle audience conjointe pourrait bien se trouver dans les lois provinciales pertinentes sur l’organisation judiciaire, d’autres lois provinciales sur la procédure civile ou encore dans les règles de procédure des tribunaux. Puisque la source de ce pouvoir, s’il en est, varie d’une province à l’autre et n’a fait l’objet d’aucun débat en l’espèce, nous nous abstenons de faire quelque commentaire que ce soit sur les dispositions particulières qui pourraient </w:t>
      </w:r>
      <w:r w:rsidRPr="00F52D1E">
        <w:rPr>
          <w:rFonts w:cs="Times New Roman"/>
          <w:i/>
          <w:lang w:val="fr-CA"/>
        </w:rPr>
        <w:t>autoriser</w:t>
      </w:r>
      <w:r w:rsidRPr="00F52D1E">
        <w:rPr>
          <w:rFonts w:cs="Times New Roman"/>
          <w:lang w:val="fr-CA"/>
        </w:rPr>
        <w:t xml:space="preserve"> la tenue </w:t>
      </w:r>
      <w:r w:rsidR="009E2F25">
        <w:rPr>
          <w:rFonts w:cs="Times New Roman"/>
          <w:lang w:val="fr-CA"/>
        </w:rPr>
        <w:t>d’une telle audience conjointe.</w:t>
      </w:r>
    </w:p>
    <w:p w:rsidR="00CF3116" w:rsidRPr="00F52D1E" w:rsidRDefault="00CF3116" w:rsidP="00CF3116">
      <w:pPr>
        <w:pStyle w:val="ParaNoNdepar-AltN"/>
        <w:rPr>
          <w:rFonts w:cs="Times New Roman"/>
          <w:lang w:val="fr-CA"/>
        </w:rPr>
      </w:pPr>
      <w:r w:rsidRPr="00F52D1E">
        <w:rPr>
          <w:rFonts w:cs="Times New Roman"/>
          <w:lang w:val="fr-CA"/>
        </w:rPr>
        <w:t xml:space="preserve">Les parties n’ont pas non plus porté à notre attention de dispositions particulières qui </w:t>
      </w:r>
      <w:r w:rsidRPr="00F52D1E">
        <w:rPr>
          <w:rFonts w:cs="Times New Roman"/>
          <w:i/>
          <w:lang w:val="fr-CA"/>
        </w:rPr>
        <w:t>empêcheraient</w:t>
      </w:r>
      <w:r w:rsidRPr="00F52D1E">
        <w:rPr>
          <w:rFonts w:cs="Times New Roman"/>
          <w:lang w:val="fr-CA"/>
        </w:rPr>
        <w:t xml:space="preserve"> la tenue d’une audience de ce genre : voir, à ce sujet, </w:t>
      </w:r>
      <w:r w:rsidRPr="00F52D1E">
        <w:rPr>
          <w:rFonts w:cs="Times New Roman"/>
          <w:i/>
          <w:lang w:val="fr-CA"/>
        </w:rPr>
        <w:t>Endean</w:t>
      </w:r>
      <w:r w:rsidRPr="00F52D1E">
        <w:rPr>
          <w:rFonts w:cs="Times New Roman"/>
          <w:lang w:val="fr-CA"/>
        </w:rPr>
        <w:t xml:space="preserve">, par. 62 (« à défaut de restriction explicite, les cours supérieures peuvent, en vertu de leur compétence inhérente, tenir le type d’audiences qui nous intéresse en l’espèce »). Par conséquent, nous nous abstenons également d’exprimer une opinion sur la validité constitutionnelle d’une telle </w:t>
      </w:r>
      <w:r w:rsidRPr="00F52D1E">
        <w:rPr>
          <w:rFonts w:cs="Times New Roman"/>
          <w:i/>
          <w:lang w:val="fr-CA"/>
        </w:rPr>
        <w:t>restriction explicite</w:t>
      </w:r>
      <w:r w:rsidRPr="00F52D1E">
        <w:rPr>
          <w:rFonts w:cs="Times New Roman"/>
          <w:lang w:val="fr-CA"/>
        </w:rPr>
        <w:t xml:space="preserve"> ou sur son applicabilité à une revendication transfrontalière de droits ancestraux à la lumière de l’art. 35 de la </w:t>
      </w:r>
      <w:r w:rsidRPr="00F52D1E">
        <w:rPr>
          <w:rFonts w:cs="Times New Roman"/>
          <w:i/>
          <w:lang w:val="fr-CA"/>
        </w:rPr>
        <w:t>Loi constitutionnelle de 1982</w:t>
      </w:r>
      <w:r w:rsidRPr="00F52D1E">
        <w:rPr>
          <w:rFonts w:cs="Times New Roman"/>
          <w:lang w:val="fr-CA"/>
        </w:rPr>
        <w:t xml:space="preserve"> ou de l’art. 96 de la </w:t>
      </w:r>
      <w:r w:rsidRPr="00F52D1E">
        <w:rPr>
          <w:rFonts w:cs="Times New Roman"/>
          <w:i/>
          <w:lang w:val="fr-CA"/>
        </w:rPr>
        <w:t>Loi constitutionnelle de 1867</w:t>
      </w:r>
      <w:r w:rsidRPr="00F52D1E">
        <w:rPr>
          <w:rFonts w:cs="Times New Roman"/>
          <w:lang w:val="fr-CA"/>
        </w:rPr>
        <w:t xml:space="preserve"> et de la </w:t>
      </w:r>
      <w:r w:rsidRPr="00F52D1E">
        <w:rPr>
          <w:rFonts w:cs="Times New Roman"/>
          <w:i/>
          <w:lang w:val="fr-CA"/>
        </w:rPr>
        <w:t>certaine protection constitutionnelle</w:t>
      </w:r>
      <w:r w:rsidRPr="00F52D1E">
        <w:rPr>
          <w:rFonts w:cs="Times New Roman"/>
          <w:lang w:val="fr-CA"/>
        </w:rPr>
        <w:t xml:space="preserve"> que ce dernier article accorde à l’accès à la justice, mais aussi à la compétence i</w:t>
      </w:r>
      <w:r w:rsidR="009E2F25">
        <w:rPr>
          <w:rFonts w:cs="Times New Roman"/>
          <w:lang w:val="fr-CA"/>
        </w:rPr>
        <w:t>nhérente des cours supérieures.</w:t>
      </w:r>
    </w:p>
    <w:p w:rsidR="00CF3116" w:rsidRPr="00F52D1E" w:rsidRDefault="00CF3116" w:rsidP="00CF3116">
      <w:pPr>
        <w:pStyle w:val="ParaNoNdepar-AltN"/>
        <w:rPr>
          <w:rFonts w:cs="Times New Roman"/>
          <w:lang w:val="fr-CA"/>
        </w:rPr>
      </w:pPr>
      <w:r w:rsidRPr="00F52D1E">
        <w:rPr>
          <w:rFonts w:cs="Times New Roman"/>
          <w:lang w:val="fr-CA"/>
        </w:rPr>
        <w:t xml:space="preserve">Quoi qu’il en soit, il n’est pas nécessaire que le pouvoir des juges des cours supérieures de tenir le genre d’audience qui nous intéresse ici ait été conféré par la loi et ce, même si les tribunaux doivent s’enquérir des pouvoirs que la loi leur confère avant d’examiner leur compétence inhérente : </w:t>
      </w:r>
      <w:r w:rsidRPr="00F52D1E">
        <w:rPr>
          <w:rFonts w:cs="Times New Roman"/>
          <w:i/>
          <w:lang w:val="fr-CA"/>
        </w:rPr>
        <w:t>Endean</w:t>
      </w:r>
      <w:r w:rsidRPr="00F52D1E">
        <w:rPr>
          <w:rFonts w:cs="Times New Roman"/>
          <w:lang w:val="fr-CA"/>
        </w:rPr>
        <w:t xml:space="preserve">, par. 19. En l’absence d’un tel pouvoir conféré par la loi, les juges des cours supérieures peuvent puiser à même leur </w:t>
      </w:r>
      <w:r w:rsidRPr="00F52D1E">
        <w:rPr>
          <w:rFonts w:cs="Times New Roman"/>
          <w:lang w:val="fr-CA"/>
        </w:rPr>
        <w:lastRenderedPageBreak/>
        <w:t xml:space="preserve">compétence inhérente, laquelle comprend le pouvoir d’assurer le bon déroulement des instances et de contrôler leurs propres procédures : Jacob, p. 32. Comme notre Cour l’a énoncé dans </w:t>
      </w:r>
      <w:r w:rsidRPr="00F52D1E">
        <w:rPr>
          <w:rFonts w:cs="Times New Roman"/>
          <w:i/>
          <w:lang w:val="fr-CA"/>
        </w:rPr>
        <w:t>Endean</w:t>
      </w:r>
      <w:r w:rsidR="009E2F25">
        <w:rPr>
          <w:rFonts w:cs="Times New Roman"/>
          <w:lang w:val="fr-CA"/>
        </w:rPr>
        <w:t>, par. 60 :</w:t>
      </w:r>
    </w:p>
    <w:p w:rsidR="00CF3116" w:rsidRPr="00F52D1E" w:rsidRDefault="0019745F" w:rsidP="00CF3116">
      <w:pPr>
        <w:pStyle w:val="Citation-AltC"/>
        <w:ind w:firstLine="274"/>
        <w:rPr>
          <w:lang w:val="fr-CA"/>
        </w:rPr>
      </w:pPr>
      <w:r>
        <w:rPr>
          <w:lang w:val="fr-CA"/>
        </w:rPr>
        <w:t>... l</w:t>
      </w:r>
      <w:r w:rsidR="00CF3116" w:rsidRPr="00F52D1E">
        <w:rPr>
          <w:lang w:val="fr-CA"/>
        </w:rPr>
        <w:t xml:space="preserve">a compétence inhérente des cours supérieures est une source résiduelle de pouvoirs à laquelle ces cours peuvent </w:t>
      </w:r>
      <w:proofErr w:type="gramStart"/>
      <w:r w:rsidR="00CF3116" w:rsidRPr="00F52D1E">
        <w:rPr>
          <w:lang w:val="fr-CA"/>
        </w:rPr>
        <w:t>puiser</w:t>
      </w:r>
      <w:proofErr w:type="gramEnd"/>
      <w:r w:rsidR="00CF3116" w:rsidRPr="00F52D1E">
        <w:rPr>
          <w:lang w:val="fr-CA"/>
        </w:rPr>
        <w:t xml:space="preserve"> pour veiller à l’application régulière de la loi, empêcher les abus et s’assurer de rendre justice aux parties. Un des aspects de ces pouvoirs inhérents est le pouvoir d’assurer le bon déroulement de l’instance et de contrôler la procédure : Jacob, p. 25 et 32</w:t>
      </w:r>
      <w:r w:rsidR="00CF3116" w:rsidRPr="00F52D1E">
        <w:rPr>
          <w:lang w:val="fr-CA"/>
        </w:rPr>
        <w:noBreakHyphen/>
        <w:t>40. Comme le protonotaire Jacob l’explique, [</w:t>
      </w:r>
      <w:r w:rsidR="00CF3116" w:rsidRPr="00F52D1E">
        <w:rPr>
          <w:smallCaps/>
          <w:lang w:val="fr-CA"/>
        </w:rPr>
        <w:t>traduction</w:t>
      </w:r>
      <w:r w:rsidR="00CF3116" w:rsidRPr="00F52D1E">
        <w:rPr>
          <w:lang w:val="fr-CA"/>
        </w:rPr>
        <w:t xml:space="preserve">] « il est difficile de fixer des limites aux pouvoirs du tribunal en ce qui concerne l’exercice de ses pouvoirs inhérents de contrôler et de réglementer sa procédure, car les limites en question correspondent aux besoins du tribunal de remplir ses fonctions judiciaires dans le cadre de l’administration de la justice » : p. 33. Bref, la compétence inhérente habilite les cours supérieures notamment à contrôler leur procédure de manière à garantir la commodité, la célérité et l’efficacité de </w:t>
      </w:r>
      <w:r w:rsidR="009E2F25">
        <w:rPr>
          <w:lang w:val="fr-CA"/>
        </w:rPr>
        <w:t>l’administration de la justice.</w:t>
      </w:r>
    </w:p>
    <w:p w:rsidR="00CF3116" w:rsidRPr="00F52D1E" w:rsidRDefault="00CF3116" w:rsidP="00CF3116">
      <w:pPr>
        <w:pStyle w:val="ParaNoNdepar-AltN"/>
        <w:rPr>
          <w:rFonts w:cs="Times New Roman"/>
          <w:lang w:val="fr-CA"/>
        </w:rPr>
      </w:pPr>
      <w:r w:rsidRPr="00F52D1E">
        <w:rPr>
          <w:rFonts w:cs="Times New Roman"/>
          <w:lang w:val="fr-CA"/>
        </w:rPr>
        <w:t xml:space="preserve">En somme, et généralement, les juges des cours supérieures peuvent siéger ensemble et entendre la même preuve au cours d’une seule et même audience conjointe résultant d’une jonction des demandes introduites devant chacune des cours supérieures concernées. La conduite pratique d’une audience de ce genre en matière de revendication transfrontalière de droits ancestraux doit, bien sûr, être laissée à la discrétion des juges qui y participent. La question de savoir si l’audience doit être tenue en la présence physique de tous les juges, par lien vidéo ou par un autre moyen technologique dépendra de la nature des demandes, de la disponibilité des ressources judiciaires et des circonstances dans lesquelles les parties se trouvent. Une condition préalable à la tenue d’une telle audience conjointe est, cependant, que les demandes appropriées aient été introduites devant chacune des cours supérieures concernées. En l’espèce, l’omission des Innus d’introduire des demandes, jusqu’à présent, au Québec </w:t>
      </w:r>
      <w:r w:rsidRPr="00F52D1E">
        <w:rPr>
          <w:rFonts w:cs="Times New Roman"/>
          <w:i/>
          <w:lang w:val="fr-CA"/>
        </w:rPr>
        <w:t>et</w:t>
      </w:r>
      <w:r w:rsidRPr="00F52D1E">
        <w:rPr>
          <w:rFonts w:cs="Times New Roman"/>
          <w:lang w:val="fr-CA"/>
        </w:rPr>
        <w:t xml:space="preserve">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constitue un obstacle majeur à la capacité </w:t>
      </w:r>
      <w:r w:rsidRPr="00F52D1E">
        <w:rPr>
          <w:rFonts w:cs="Times New Roman"/>
          <w:lang w:val="fr-CA"/>
        </w:rPr>
        <w:lastRenderedPageBreak/>
        <w:t>constitutionnelle des cours supérieures de disposer adéquatement de leur revendication transfrontali</w:t>
      </w:r>
      <w:r w:rsidR="009E2F25">
        <w:rPr>
          <w:rFonts w:cs="Times New Roman"/>
          <w:lang w:val="fr-CA"/>
        </w:rPr>
        <w:t>ère de droits ancestraux.</w:t>
      </w:r>
    </w:p>
    <w:p w:rsidR="00CF3116" w:rsidRPr="00F52D1E" w:rsidRDefault="00CF3116" w:rsidP="00CF3116">
      <w:pPr>
        <w:pStyle w:val="ParaNoNdepar-AltN"/>
        <w:rPr>
          <w:rFonts w:cs="Times New Roman"/>
          <w:lang w:val="fr-CA"/>
        </w:rPr>
      </w:pPr>
      <w:r w:rsidRPr="00F52D1E">
        <w:rPr>
          <w:rFonts w:cs="Times New Roman"/>
          <w:lang w:val="fr-CA"/>
        </w:rPr>
        <w:t xml:space="preserve">Nous sommes conscients du fait que la tenue du type d’audience qui nous intéresse ici présente des défis importants. Dans </w:t>
      </w:r>
      <w:r w:rsidRPr="00F52D1E">
        <w:rPr>
          <w:rFonts w:cs="Times New Roman"/>
          <w:i/>
          <w:lang w:val="fr-CA"/>
        </w:rPr>
        <w:t>Endean</w:t>
      </w:r>
      <w:r w:rsidRPr="00F52D1E">
        <w:rPr>
          <w:rFonts w:cs="Times New Roman"/>
          <w:lang w:val="fr-CA"/>
        </w:rPr>
        <w:t xml:space="preserve">, il s’agissait d’instruire une demande sans « preuve orale » et sans « recourir aux pouvoirs de contrainte de la cour », tels « le pouvoir de sommer un témoin de comparaître et de répondre à des questions et celui de rendre des ordonnances pour contrôler la conduite des parties en cours d’instance » : par. 17, 58 et 78. En l’espèce, nous envisageons </w:t>
      </w:r>
      <w:r w:rsidRPr="00F52D1E">
        <w:rPr>
          <w:rFonts w:cs="Times New Roman"/>
          <w:szCs w:val="24"/>
          <w:lang w:val="fr-CA"/>
        </w:rPr>
        <w:t>au contraire la tenue d’une audience au cours de laquelle une preuve volumineuse serait administrée, ce qui pourrait évidemment engendrer des difficultés de gestion. Nous incitons avec égard les juges des cours supérieures à s’efforcer le plus possible de surmonter soigneusement ces difficultés par la collaboration entre eux et par l’exercice de leur compétence inhérente et de leurs pouvoirs discrétionnaires. Notre but ici n’est pas de régir le type d’audience envisagée dans le menu détail, mais plus simplement de donner des directives générales assorties d’une exhortation à favoriser l’accès à la justice et la résolution efficace, rapide et économique des revendications transfro</w:t>
      </w:r>
      <w:r w:rsidR="009E2F25">
        <w:rPr>
          <w:rFonts w:cs="Times New Roman"/>
          <w:szCs w:val="24"/>
          <w:lang w:val="fr-CA"/>
        </w:rPr>
        <w:t>ntalières de droits ancestraux.</w:t>
      </w:r>
    </w:p>
    <w:p w:rsidR="00CF3116" w:rsidRPr="00F52D1E" w:rsidRDefault="00CF3116" w:rsidP="00CF3116">
      <w:pPr>
        <w:pStyle w:val="ParaNoNdepar-AltN"/>
        <w:rPr>
          <w:rFonts w:cs="Times New Roman"/>
          <w:lang w:val="fr-CA"/>
        </w:rPr>
      </w:pPr>
      <w:r w:rsidRPr="00F52D1E">
        <w:rPr>
          <w:rFonts w:cs="Times New Roman"/>
          <w:lang w:val="fr-CA"/>
        </w:rPr>
        <w:t xml:space="preserve">Un dernier point. Bien qu’il </w:t>
      </w:r>
      <w:proofErr w:type="gramStart"/>
      <w:r w:rsidRPr="00F52D1E">
        <w:rPr>
          <w:rFonts w:cs="Times New Roman"/>
          <w:lang w:val="fr-CA"/>
        </w:rPr>
        <w:t>serait</w:t>
      </w:r>
      <w:proofErr w:type="gramEnd"/>
      <w:r w:rsidRPr="00F52D1E">
        <w:rPr>
          <w:rFonts w:cs="Times New Roman"/>
          <w:lang w:val="fr-CA"/>
        </w:rPr>
        <w:t xml:space="preserve"> certainement préférable que les procureurs généraux des provinces concernées consentent à la tenue</w:t>
      </w:r>
      <w:r w:rsidR="000D363E">
        <w:rPr>
          <w:rFonts w:cs="Times New Roman"/>
          <w:lang w:val="fr-CA"/>
        </w:rPr>
        <w:t xml:space="preserve"> d’une audience conjointe multi</w:t>
      </w:r>
      <w:r w:rsidRPr="00F52D1E">
        <w:rPr>
          <w:rFonts w:cs="Times New Roman"/>
          <w:lang w:val="fr-CA"/>
        </w:rPr>
        <w:t xml:space="preserve">juridictionnelle pour traiter des revendications transfrontalières de droits ancestraux, un tel consentement n’est pas requis pour qu’une cour supérieure exerce sa compétence inhérente de contrôler ses propres procédures. Lors de l’audience devant notre Cour, le PGTNL a d’ailleurs admis ne connaître aucune autorité au soutien </w:t>
      </w:r>
      <w:r w:rsidRPr="00F52D1E">
        <w:rPr>
          <w:rFonts w:cs="Times New Roman"/>
          <w:lang w:val="fr-CA"/>
        </w:rPr>
        <w:lastRenderedPageBreak/>
        <w:t>de la proposition voulant que le consentement des parties soit nécessaire à cette</w:t>
      </w:r>
      <w:r w:rsidR="009E2F25">
        <w:rPr>
          <w:rFonts w:cs="Times New Roman"/>
          <w:lang w:val="fr-CA"/>
        </w:rPr>
        <w:t xml:space="preserve"> fin : transcription, p. 48</w:t>
      </w:r>
      <w:r w:rsidR="009E2F25">
        <w:rPr>
          <w:rFonts w:cs="Times New Roman"/>
          <w:lang w:val="fr-CA"/>
        </w:rPr>
        <w:noBreakHyphen/>
        <w:t>49.</w:t>
      </w:r>
    </w:p>
    <w:p w:rsidR="00CF3116" w:rsidRPr="00F52D1E" w:rsidRDefault="00CF3116" w:rsidP="00CF3116">
      <w:pPr>
        <w:pStyle w:val="ParaNoNdepar-AltN"/>
        <w:rPr>
          <w:rFonts w:cs="Times New Roman"/>
          <w:lang w:val="fr-CA"/>
        </w:rPr>
      </w:pPr>
      <w:r w:rsidRPr="00F52D1E">
        <w:rPr>
          <w:rFonts w:cs="Times New Roman"/>
          <w:lang w:val="fr-CA"/>
        </w:rPr>
        <w:t xml:space="preserve">Cependant, comme notre Cour l’a énoncé dans </w:t>
      </w:r>
      <w:r w:rsidRPr="00F52D1E">
        <w:rPr>
          <w:rFonts w:cs="Times New Roman"/>
          <w:i/>
          <w:lang w:val="fr-CA"/>
        </w:rPr>
        <w:t>Colombie</w:t>
      </w:r>
      <w:r w:rsidRPr="00F52D1E">
        <w:rPr>
          <w:rFonts w:cs="Times New Roman"/>
          <w:i/>
          <w:lang w:val="fr-CA"/>
        </w:rPr>
        <w:noBreakHyphen/>
        <w:t>Britannique (Procureur général) c. Christie</w:t>
      </w:r>
      <w:r w:rsidRPr="00F52D1E">
        <w:rPr>
          <w:rFonts w:cs="Times New Roman"/>
          <w:lang w:val="fr-CA"/>
        </w:rPr>
        <w:t xml:space="preserve">, 2007 CSC 21, [2007] 1 R.C.S. 873, les avocats jouent un rôle important pour favoriser l’accès à la justice et le respect de la primauté du droit : par. 22; voir aussi Newman, p. 1036. Plus précisément, les avocats « doivent, conformément aux traditions de leur profession, agir de manière à faciliter plutôt qu’à empêcher l’accès à la justice » : </w:t>
      </w:r>
      <w:r w:rsidRPr="00F52D1E">
        <w:rPr>
          <w:rFonts w:cs="Times New Roman"/>
          <w:i/>
          <w:lang w:val="fr-CA"/>
        </w:rPr>
        <w:t>Hryniak</w:t>
      </w:r>
      <w:r w:rsidRPr="00F52D1E">
        <w:rPr>
          <w:rFonts w:cs="Times New Roman"/>
          <w:lang w:val="fr-CA"/>
        </w:rPr>
        <w:t>, par. 32. Ainsi, ils devraient être conscients de ce rôle lorsqu’ils considèrent la possibilité de ten</w:t>
      </w:r>
      <w:r w:rsidR="000D363E">
        <w:rPr>
          <w:rFonts w:cs="Times New Roman"/>
          <w:lang w:val="fr-CA"/>
        </w:rPr>
        <w:t>ir une audience conjointe multi</w:t>
      </w:r>
      <w:r w:rsidRPr="00F52D1E">
        <w:rPr>
          <w:rFonts w:cs="Times New Roman"/>
          <w:lang w:val="fr-CA"/>
        </w:rPr>
        <w:t>juridictionnelle pour traiter des revendications transfro</w:t>
      </w:r>
      <w:r w:rsidR="000D363E">
        <w:rPr>
          <w:rFonts w:cs="Times New Roman"/>
          <w:lang w:val="fr-CA"/>
        </w:rPr>
        <w:t>ntalières de droits ancestraux.</w:t>
      </w:r>
    </w:p>
    <w:p w:rsidR="00CF3116" w:rsidRPr="00F52D1E" w:rsidRDefault="00CF3116" w:rsidP="00CF3116">
      <w:pPr>
        <w:pStyle w:val="ParaNoNdepar-AltN"/>
        <w:rPr>
          <w:rFonts w:cs="Times New Roman"/>
          <w:lang w:val="fr-CA"/>
        </w:rPr>
      </w:pPr>
      <w:r w:rsidRPr="00F52D1E">
        <w:rPr>
          <w:rFonts w:cs="Times New Roman"/>
          <w:lang w:val="fr-CA"/>
        </w:rPr>
        <w:t xml:space="preserve">De plus, si la décision de tenir ce genre d’audience demeure discrétionnaire, les juges doivent également avoir conscience de </w:t>
      </w:r>
      <w:r w:rsidRPr="00F52D1E">
        <w:rPr>
          <w:rFonts w:cs="Times New Roman"/>
          <w:i/>
          <w:lang w:val="fr-CA"/>
        </w:rPr>
        <w:t>leur</w:t>
      </w:r>
      <w:r w:rsidRPr="00F52D1E">
        <w:rPr>
          <w:rFonts w:cs="Times New Roman"/>
          <w:lang w:val="fr-CA"/>
        </w:rPr>
        <w:t xml:space="preserve"> rôle, et de celui de leurs cours, dans la réalisation de l’accès à la justice. Par conséquent, ils doivent exercer leurs pouvoirs discrétionnaires ⸺ inhérents ou d’origine législative ⸺ de façon généreuse, en ayant une intention claire de privilégier toute adaptation procédurale qui favoriserait l’accès à la justice et en tenant compte des droits co</w:t>
      </w:r>
      <w:r w:rsidR="000D363E">
        <w:rPr>
          <w:rFonts w:cs="Times New Roman"/>
          <w:lang w:val="fr-CA"/>
        </w:rPr>
        <w:t>nstitutionnels qui sont en jeu.</w:t>
      </w:r>
    </w:p>
    <w:p w:rsidR="00CF3116" w:rsidRPr="00F52D1E" w:rsidRDefault="00CF3116" w:rsidP="00CF3116">
      <w:pPr>
        <w:pStyle w:val="Title2LevelTitre2Niveau"/>
        <w:jc w:val="both"/>
        <w:rPr>
          <w:rFonts w:cs="Times New Roman"/>
          <w:lang w:val="fr-CA"/>
        </w:rPr>
      </w:pPr>
      <w:bookmarkStart w:id="126" w:name="_Toc29195623"/>
      <w:bookmarkStart w:id="127" w:name="_Toc31207777"/>
      <w:bookmarkStart w:id="128" w:name="_Toc32309439"/>
      <w:bookmarkStart w:id="129" w:name="_Toc32852594"/>
      <w:bookmarkStart w:id="130" w:name="_Toc33007308"/>
      <w:r w:rsidRPr="00F52D1E">
        <w:rPr>
          <w:rFonts w:cs="Times New Roman"/>
          <w:lang w:val="fr-CA"/>
        </w:rPr>
        <w:t>Approche préconisée par le procureur général du Canada</w:t>
      </w:r>
      <w:bookmarkEnd w:id="126"/>
      <w:bookmarkEnd w:id="127"/>
      <w:bookmarkEnd w:id="128"/>
      <w:bookmarkEnd w:id="129"/>
      <w:bookmarkEnd w:id="130"/>
    </w:p>
    <w:p w:rsidR="00CF3116" w:rsidRPr="00F52D1E" w:rsidRDefault="00CF3116" w:rsidP="00CF3116">
      <w:pPr>
        <w:pStyle w:val="ParaNoNdepar-AltN"/>
        <w:rPr>
          <w:rFonts w:cs="Times New Roman"/>
          <w:lang w:val="fr-CA"/>
        </w:rPr>
      </w:pPr>
      <w:r w:rsidRPr="00F52D1E">
        <w:rPr>
          <w:rFonts w:cs="Times New Roman"/>
          <w:lang w:val="fr-CA"/>
        </w:rPr>
        <w:t xml:space="preserve">Même si elle est bien intentionnée, dans les faits, l’approche préconisée par le PGC que nous avons décrite précédemment (par. 99), à l’instar de celle prescrite par </w:t>
      </w:r>
      <w:r w:rsidRPr="00F52D1E">
        <w:rPr>
          <w:rFonts w:cs="Times New Roman"/>
          <w:lang w:val="fr-CA"/>
        </w:rPr>
        <w:lastRenderedPageBreak/>
        <w:t>nos collègues, ne facilitera pas l’accès à la justice ou la revendication des droits protégés par l’art. 35. Elle créera plutôt davantage de problèmes qu’elle n’en résoudra.</w:t>
      </w:r>
    </w:p>
    <w:p w:rsidR="00CF3116" w:rsidRPr="00F52D1E" w:rsidRDefault="00CF3116" w:rsidP="00CF3116">
      <w:pPr>
        <w:pStyle w:val="Title3LevelTitre3Niveau"/>
        <w:tabs>
          <w:tab w:val="clear" w:pos="1152"/>
        </w:tabs>
        <w:ind w:left="1530"/>
        <w:rPr>
          <w:rFonts w:cs="Times New Roman"/>
          <w:lang w:val="fr-CA"/>
        </w:rPr>
      </w:pPr>
      <w:bookmarkStart w:id="131" w:name="_Toc29195624"/>
      <w:bookmarkStart w:id="132" w:name="_Toc33007309"/>
      <w:r w:rsidRPr="00F52D1E">
        <w:rPr>
          <w:rFonts w:cs="Times New Roman"/>
          <w:lang w:val="fr-CA"/>
        </w:rPr>
        <w:t>Les effets sur la structure constitutionnelle du Canada</w:t>
      </w:r>
      <w:bookmarkEnd w:id="131"/>
      <w:bookmarkEnd w:id="132"/>
    </w:p>
    <w:p w:rsidR="00CF3116" w:rsidRPr="00F52D1E" w:rsidRDefault="00CF3116" w:rsidP="00CF3116">
      <w:pPr>
        <w:pStyle w:val="ParaNoNdepar-AltN"/>
        <w:rPr>
          <w:rFonts w:cs="Times New Roman"/>
          <w:lang w:val="fr-CA"/>
        </w:rPr>
      </w:pPr>
      <w:r w:rsidRPr="00F52D1E">
        <w:rPr>
          <w:rFonts w:cs="Times New Roman"/>
          <w:lang w:val="fr-CA"/>
        </w:rPr>
        <w:t>Au risque de nous répéter, nous soulignons de nouveau que nous partageons les préoccupations du PGC et de nos collègues quant à l’importance d’en arriver dans la présente affaire à une solution qui favorise l’accès à la justice tout en donnant effet, comme il se doit, aux droits protégés par l’art. 35. Les demandeurs autochtones ont besoin de moyens pratiques pour faire valoir leurs droits. Les poursuites en cette matière peuvent être à la fois longues et coûteuses en plus de requérir une preuve étoffée. Selon nous, la solution proposée précédemment de tenir des audiences conjointes permettrait aux autochtones de faire valoir leurs droits de manière plus pratique et efficace que ne le ferait l’approche proposée par le PGC.</w:t>
      </w:r>
    </w:p>
    <w:p w:rsidR="00CF3116" w:rsidRPr="00F52D1E" w:rsidRDefault="00CF3116" w:rsidP="00CF3116">
      <w:pPr>
        <w:pStyle w:val="ParaNoNdepar-AltN"/>
        <w:rPr>
          <w:rFonts w:cs="Times New Roman"/>
          <w:lang w:val="fr-CA"/>
        </w:rPr>
      </w:pPr>
      <w:r w:rsidRPr="00F52D1E">
        <w:rPr>
          <w:rFonts w:cs="Times New Roman"/>
          <w:lang w:val="fr-CA"/>
        </w:rPr>
        <w:t xml:space="preserve">En plus de ces préoccupations importantes quant à l’accès à la justice, il faut tenir compte des effets de l’approche préconisée par le PGC sur notre structure constitutionnelle. La réconciliation exige que l’on concilie les droits ancestraux </w:t>
      </w:r>
      <w:r w:rsidRPr="00F52D1E">
        <w:rPr>
          <w:rFonts w:cs="Times New Roman"/>
          <w:i/>
          <w:lang w:val="fr-CA"/>
        </w:rPr>
        <w:t>et</w:t>
      </w:r>
      <w:r w:rsidRPr="00F52D1E">
        <w:rPr>
          <w:rFonts w:cs="Times New Roman"/>
          <w:lang w:val="fr-CA"/>
        </w:rPr>
        <w:t xml:space="preserve"> la structure de l’État canadien moderne : aucun n’a préséance sur l’autre. La Cour a souligné à maintes reprises que le par. 35(1) a pour objet de concilier l’occupation antérieure du territoire par les peuples autochtones et l’affirmation de la souveraineté canadienne; cela requiert de tenir compte de ces deux réalités : </w:t>
      </w:r>
      <w:r w:rsidRPr="00F52D1E">
        <w:rPr>
          <w:rFonts w:cs="Times New Roman"/>
          <w:i/>
          <w:lang w:val="fr-CA"/>
        </w:rPr>
        <w:t>Van der Peet</w:t>
      </w:r>
      <w:r w:rsidRPr="00F52D1E">
        <w:rPr>
          <w:rFonts w:cs="Times New Roman"/>
          <w:lang w:val="fr-CA"/>
        </w:rPr>
        <w:t xml:space="preserve">, par. 36 et 43; </w:t>
      </w:r>
      <w:r w:rsidRPr="00F52D1E">
        <w:rPr>
          <w:rFonts w:cs="Times New Roman"/>
          <w:i/>
          <w:lang w:val="fr-CA" w:bidi="en-US"/>
        </w:rPr>
        <w:t>Adams</w:t>
      </w:r>
      <w:r w:rsidRPr="00F52D1E">
        <w:rPr>
          <w:rFonts w:cs="Times New Roman"/>
          <w:lang w:val="fr-CA" w:bidi="en-US"/>
        </w:rPr>
        <w:t xml:space="preserve">, par. 57; </w:t>
      </w:r>
      <w:r w:rsidRPr="00F52D1E">
        <w:rPr>
          <w:rFonts w:cs="Times New Roman"/>
          <w:i/>
          <w:lang w:val="fr-CA" w:bidi="en-US"/>
        </w:rPr>
        <w:t>Delgamuukw</w:t>
      </w:r>
      <w:r w:rsidRPr="00F52D1E">
        <w:rPr>
          <w:rFonts w:cs="Times New Roman"/>
          <w:lang w:val="fr-CA" w:bidi="en-US"/>
        </w:rPr>
        <w:t xml:space="preserve">, par. 148; </w:t>
      </w:r>
      <w:r w:rsidRPr="00F52D1E">
        <w:rPr>
          <w:rFonts w:cs="Times New Roman"/>
          <w:i/>
          <w:lang w:val="fr-CA" w:bidi="en-US"/>
        </w:rPr>
        <w:t>Nation</w:t>
      </w:r>
      <w:r w:rsidRPr="00F52D1E">
        <w:rPr>
          <w:rFonts w:cs="Times New Roman"/>
          <w:lang w:val="fr-CA" w:bidi="en-US"/>
        </w:rPr>
        <w:t xml:space="preserve"> </w:t>
      </w:r>
      <w:r w:rsidRPr="00F52D1E">
        <w:rPr>
          <w:rFonts w:cs="Times New Roman"/>
          <w:i/>
          <w:lang w:val="fr-CA"/>
        </w:rPr>
        <w:t>Tsilhqot’in</w:t>
      </w:r>
      <w:r w:rsidRPr="00F52D1E">
        <w:rPr>
          <w:rFonts w:cs="Times New Roman"/>
          <w:lang w:val="fr-CA" w:bidi="en-US"/>
        </w:rPr>
        <w:t xml:space="preserve">, par. 14. </w:t>
      </w:r>
      <w:r w:rsidRPr="00F52D1E">
        <w:rPr>
          <w:rFonts w:cs="Times New Roman"/>
          <w:lang w:val="fr-FR"/>
        </w:rPr>
        <w:t xml:space="preserve">Dans son appréciation d’une revendication invoquant l’existence d’un droit ancestral, le tribunal doit donc tenir compte du point de vue des autochtones qui revendiquent ce droit, et il doit le faire </w:t>
      </w:r>
      <w:r w:rsidRPr="00F52D1E">
        <w:rPr>
          <w:rFonts w:cs="Times New Roman"/>
          <w:lang w:val="fr-CA" w:bidi="en-US"/>
        </w:rPr>
        <w:t>« </w:t>
      </w:r>
      <w:r w:rsidRPr="00F52D1E">
        <w:rPr>
          <w:rFonts w:cs="Times New Roman"/>
          <w:lang w:val="fr-FR"/>
        </w:rPr>
        <w:t xml:space="preserve">d’une manière [. . .] compatible avec l’organisation juridique et </w:t>
      </w:r>
      <w:r w:rsidRPr="00F52D1E">
        <w:rPr>
          <w:rFonts w:cs="Times New Roman"/>
          <w:lang w:val="fr-FR"/>
        </w:rPr>
        <w:lastRenderedPageBreak/>
        <w:t>constitutionnelle du Canada » (</w:t>
      </w:r>
      <w:r w:rsidRPr="00F52D1E">
        <w:rPr>
          <w:rFonts w:cs="Times New Roman"/>
          <w:i/>
          <w:lang w:val="fr-FR"/>
        </w:rPr>
        <w:t>Van der Peet</w:t>
      </w:r>
      <w:r w:rsidRPr="00F52D1E">
        <w:rPr>
          <w:rFonts w:cs="Times New Roman"/>
          <w:lang w:val="fr-FR"/>
        </w:rPr>
        <w:t>, par. 49); « [l]a conciliation véritable accorde, également, de l’importance [à la perspective autochtone et à ce</w:t>
      </w:r>
      <w:r w:rsidR="000D363E">
        <w:rPr>
          <w:rFonts w:cs="Times New Roman"/>
          <w:lang w:val="fr-FR"/>
        </w:rPr>
        <w:t>lle de common law] » (par. 50).</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Les fondements de notre structure constitutionnelle</w:t>
      </w:r>
    </w:p>
    <w:p w:rsidR="00CF3116" w:rsidRPr="00F52D1E" w:rsidRDefault="00CF3116" w:rsidP="00CF3116">
      <w:pPr>
        <w:pStyle w:val="ParaNoNdepar-AltN"/>
        <w:rPr>
          <w:rFonts w:cs="Times New Roman"/>
          <w:lang w:val="fr-CA"/>
        </w:rPr>
      </w:pPr>
      <w:r w:rsidRPr="00F52D1E">
        <w:rPr>
          <w:rFonts w:cs="Times New Roman"/>
          <w:lang w:val="fr-CA"/>
        </w:rPr>
        <w:t>Nous avons déjà abordé la question des limites territoriales qu’impose la Constitution aux cours supérieures. Il est utile d’examiner plus en détail pourquoi il en est ainsi. Ces limites territoriales découlent d’une réalité toute simple : le Canada n’est pas un État unitaire, et ses institutions sont divisées en fonction de frontières provinciales qui ne reflètent pas les modes d’utilisation historique du territoire. Cela ne veut pas dire que les revendications de titres ancestraux qui chevauchent des frontières provinciales ne peuvent pas être portées devant les tribunaux de manière efficace; cela veut seulement dire que les tribunaux, lorsqu’ils se prononcent sur de telles revendications, sont assujettis à des restrictions inhérentes compte tenu du cadre constitutionnel dont ils tirent leur compétence.</w:t>
      </w:r>
    </w:p>
    <w:p w:rsidR="00CF3116" w:rsidRPr="00F52D1E" w:rsidRDefault="00CF3116" w:rsidP="00CF3116">
      <w:pPr>
        <w:pStyle w:val="ParaNoNdepar-AltN"/>
        <w:rPr>
          <w:rFonts w:cs="Times New Roman"/>
          <w:lang w:val="fr-CA"/>
        </w:rPr>
      </w:pPr>
      <w:r w:rsidRPr="00F52D1E">
        <w:rPr>
          <w:rFonts w:cs="Times New Roman"/>
          <w:lang w:val="fr-CA"/>
        </w:rPr>
        <w:t xml:space="preserve">Les raisons pour lesquelles notre Constitution partage les pouvoirs entre </w:t>
      </w:r>
      <w:proofErr w:type="gramStart"/>
      <w:r w:rsidRPr="00F52D1E">
        <w:rPr>
          <w:rFonts w:cs="Times New Roman"/>
          <w:lang w:val="fr-CA"/>
        </w:rPr>
        <w:t>les gouvernements fédéral et provinciaux</w:t>
      </w:r>
      <w:proofErr w:type="gramEnd"/>
      <w:r w:rsidRPr="00F52D1E">
        <w:rPr>
          <w:rFonts w:cs="Times New Roman"/>
          <w:lang w:val="fr-CA"/>
        </w:rPr>
        <w:t xml:space="preserve"> sont importantes, et il n’est pas possible de faire fi de ce contexte historique. Ce partage n’était pas une formalité ou une question de commodité administrative. « Le fédéralisme était [plutôt] la réponse juridique aux réalités politiques et culturelles qui existaient à l’époque de la Confédération et qui existent toujours aujourd’hui » : </w:t>
      </w:r>
      <w:r w:rsidRPr="00F52D1E">
        <w:rPr>
          <w:rFonts w:cs="Times New Roman"/>
          <w:i/>
          <w:lang w:val="fr-CA"/>
        </w:rPr>
        <w:t>Renvoi sur la sécession</w:t>
      </w:r>
      <w:r w:rsidRPr="00F52D1E">
        <w:rPr>
          <w:rFonts w:cs="Times New Roman"/>
          <w:lang w:val="fr-CA"/>
        </w:rPr>
        <w:t xml:space="preserve">, par. 43. Sans le fédéralisme, le Canada n’aurait ni pu se former ni perdurer. « [L]les tribunaux ont toujours tenu compte du principe du fédéralisme [. . .], l’étoile qui les a guidés depuis le tout début » dans l’interprétation de la Constitution : par. 56; voir aussi </w:t>
      </w:r>
      <w:r w:rsidRPr="00F52D1E">
        <w:rPr>
          <w:rFonts w:cs="Times New Roman"/>
          <w:i/>
          <w:lang w:val="fr-CA"/>
        </w:rPr>
        <w:t>Comeau</w:t>
      </w:r>
      <w:r w:rsidRPr="00F52D1E">
        <w:rPr>
          <w:rFonts w:cs="Times New Roman"/>
          <w:lang w:val="fr-CA"/>
        </w:rPr>
        <w:t>, par. 82.</w:t>
      </w:r>
    </w:p>
    <w:p w:rsidR="00CF3116" w:rsidRPr="00F52D1E" w:rsidRDefault="00CF3116" w:rsidP="00CF3116">
      <w:pPr>
        <w:pStyle w:val="ParaNoNdepar-AltN"/>
        <w:rPr>
          <w:rFonts w:cs="Times New Roman"/>
          <w:lang w:val="fr-CA"/>
        </w:rPr>
      </w:pPr>
      <w:r w:rsidRPr="00F52D1E">
        <w:rPr>
          <w:rFonts w:cs="Times New Roman"/>
          <w:lang w:val="fr-CA"/>
        </w:rPr>
        <w:lastRenderedPageBreak/>
        <w:t>Les observations du PGC — notamment le passage où il affirme que [</w:t>
      </w:r>
      <w:r w:rsidRPr="00F52D1E">
        <w:rPr>
          <w:rFonts w:cs="Times New Roman"/>
          <w:smallCaps/>
          <w:lang w:val="fr-CA"/>
        </w:rPr>
        <w:t>traduction</w:t>
      </w:r>
      <w:r w:rsidRPr="00F52D1E">
        <w:rPr>
          <w:rFonts w:cs="Times New Roman"/>
          <w:lang w:val="fr-CA"/>
        </w:rPr>
        <w:t xml:space="preserve">] « les cours supérieures ont compétence pour statuer sur les droits d’une partie autochtone protégés par l’art. 35 qui </w:t>
      </w:r>
      <w:r w:rsidRPr="00F52D1E">
        <w:rPr>
          <w:rFonts w:eastAsia="Times New Roman" w:cs="Times New Roman"/>
          <w:szCs w:val="24"/>
          <w:lang w:val="fr-CA"/>
        </w:rPr>
        <w:t xml:space="preserve">ont un effet sur </w:t>
      </w:r>
      <w:r w:rsidRPr="00F52D1E">
        <w:rPr>
          <w:rFonts w:cs="Times New Roman"/>
          <w:lang w:val="fr-CA"/>
        </w:rPr>
        <w:t>une autre province » (p. 4) — traitent implicitement les provinces comme si elles étaient (au mieux) des entités administratives ou (au pire) des structures gênantes. Cela est profondément irrespectueux envers l’ordre constitutionnel selon lequel les provinces sont souveraines dans leurs champs de compétence. En 1867, ce n’est pas l’État canadien qui a créé les provinces; ce sont plutôt les ancêtres coloniaux des provinces qui ont créé le Canada.</w:t>
      </w:r>
    </w:p>
    <w:p w:rsidR="00CF3116" w:rsidRPr="00F52D1E" w:rsidRDefault="00CF3116" w:rsidP="00CF3116">
      <w:pPr>
        <w:pStyle w:val="ParaNoNdepar-AltN"/>
        <w:rPr>
          <w:rFonts w:cs="Times New Roman"/>
          <w:lang w:val="fr-CA"/>
        </w:rPr>
      </w:pPr>
      <w:r w:rsidRPr="00F52D1E">
        <w:rPr>
          <w:rFonts w:cs="Times New Roman"/>
          <w:lang w:val="fr-CA"/>
        </w:rPr>
        <w:t xml:space="preserve">Ce système de cours provinciales est « un des compromis importants des Pères de la Confédération » : </w:t>
      </w:r>
      <w:r w:rsidRPr="00F52D1E">
        <w:rPr>
          <w:rFonts w:cs="Times New Roman"/>
          <w:i/>
          <w:lang w:val="fr-CA"/>
        </w:rPr>
        <w:t>Renvoi sur la Loi de 1979 sur la location résidentielle</w:t>
      </w:r>
      <w:r w:rsidRPr="00F52D1E">
        <w:rPr>
          <w:rFonts w:cs="Times New Roman"/>
          <w:lang w:val="fr-CA"/>
        </w:rPr>
        <w:t>, [1981] 1 R.C.S. 714, p. 728. L’exigence que les juges des cours supérieures soient issus de la province où ils siègent est un élément fondamental de ce compromis. Les juges de la cour supérieure du Québec « </w:t>
      </w:r>
      <w:r w:rsidRPr="00F52D1E">
        <w:rPr>
          <w:rFonts w:cs="Times New Roman"/>
          <w:lang w:val="fr-FR"/>
        </w:rPr>
        <w:t xml:space="preserve">seront choisis parmi les membres du barreau de cette province » : </w:t>
      </w:r>
      <w:r w:rsidRPr="00F52D1E">
        <w:rPr>
          <w:rFonts w:cs="Times New Roman"/>
          <w:i/>
          <w:lang w:val="fr-FR"/>
        </w:rPr>
        <w:t>Loi constitutionnelle de 1867</w:t>
      </w:r>
      <w:r w:rsidR="007F5847">
        <w:rPr>
          <w:rFonts w:cs="Times New Roman"/>
          <w:lang w:val="fr-FR"/>
        </w:rPr>
        <w:t>, art</w:t>
      </w:r>
      <w:r w:rsidRPr="00F52D1E">
        <w:rPr>
          <w:rFonts w:cs="Times New Roman"/>
          <w:lang w:val="fr-FR"/>
        </w:rPr>
        <w:t xml:space="preserve">. 98. Jusqu’à ce que les lois et la procédure dans les cours des autres provinces soient rendues uniformes, les juges de ces provinces « devront être choisis parmi les membres des barreaux respectifs de ces provinces » : </w:t>
      </w:r>
      <w:r w:rsidRPr="00F52D1E">
        <w:rPr>
          <w:rFonts w:cs="Times New Roman"/>
          <w:i/>
          <w:lang w:val="fr-FR"/>
        </w:rPr>
        <w:t>Loi constitutionnelle de 1867</w:t>
      </w:r>
      <w:r w:rsidR="007F5847">
        <w:rPr>
          <w:rFonts w:cs="Times New Roman"/>
          <w:lang w:val="fr-FR"/>
        </w:rPr>
        <w:t>, art</w:t>
      </w:r>
      <w:r w:rsidRPr="00F52D1E">
        <w:rPr>
          <w:rFonts w:cs="Times New Roman"/>
          <w:lang w:val="fr-FR"/>
        </w:rPr>
        <w:t xml:space="preserve">. 97. Ainsi, il en découle que même si les juges des cours supérieures sont nommés par le fédéral, ils ne sont pas des juges </w:t>
      </w:r>
      <w:r w:rsidRPr="00F52D1E">
        <w:rPr>
          <w:rFonts w:cs="Times New Roman"/>
          <w:i/>
          <w:lang w:val="fr-FR"/>
        </w:rPr>
        <w:t>fédéraux</w:t>
      </w:r>
      <w:r w:rsidRPr="00F52D1E">
        <w:rPr>
          <w:rFonts w:cs="Times New Roman"/>
          <w:lang w:val="fr-FR"/>
        </w:rPr>
        <w:t>, comme semble le suggérer le juge de la Cour supérieure.</w:t>
      </w:r>
    </w:p>
    <w:p w:rsidR="00CF3116" w:rsidRPr="00F52D1E" w:rsidRDefault="00CF3116" w:rsidP="00CF3116">
      <w:pPr>
        <w:pStyle w:val="ParaNoNdepar-AltN"/>
        <w:rPr>
          <w:rFonts w:cs="Times New Roman"/>
          <w:lang w:val="fr-CA"/>
        </w:rPr>
      </w:pPr>
      <w:r w:rsidRPr="00F52D1E">
        <w:rPr>
          <w:rFonts w:cs="Times New Roman"/>
          <w:lang w:val="fr-CA"/>
        </w:rPr>
        <w:t xml:space="preserve">Dans le </w:t>
      </w:r>
      <w:r w:rsidRPr="00F52D1E">
        <w:rPr>
          <w:rFonts w:cs="Times New Roman"/>
          <w:i/>
          <w:lang w:val="fr-CA"/>
        </w:rPr>
        <w:t>Renvoi relatif à la Loi sur la Cour suprême, art. 5 et 6</w:t>
      </w:r>
      <w:r w:rsidRPr="00F52D1E">
        <w:rPr>
          <w:rFonts w:cs="Times New Roman"/>
          <w:lang w:val="fr-CA"/>
        </w:rPr>
        <w:t xml:space="preserve">, </w:t>
      </w:r>
      <w:r w:rsidRPr="00F52D1E">
        <w:rPr>
          <w:rFonts w:cs="Times New Roman"/>
          <w:lang w:val="fr-CA" w:bidi="en-US"/>
        </w:rPr>
        <w:t xml:space="preserve">2014 CSC 21, [2014] 1 R.C.S. 433, la Cour a expliqué que la nomination des juges parmi les membres du barreau d’une province vise plus que la simple compétence en droit. Dans cette affaire, la Cour devait se prononcer sur l’interprétation de l’art. 6 de la </w:t>
      </w:r>
      <w:r w:rsidRPr="00F52D1E">
        <w:rPr>
          <w:rFonts w:cs="Times New Roman"/>
          <w:i/>
          <w:lang w:val="fr-CA" w:bidi="en-US"/>
        </w:rPr>
        <w:t xml:space="preserve">Loi sur la </w:t>
      </w:r>
      <w:r w:rsidRPr="00F52D1E">
        <w:rPr>
          <w:rFonts w:cs="Times New Roman"/>
          <w:i/>
          <w:lang w:val="fr-CA" w:bidi="en-US"/>
        </w:rPr>
        <w:lastRenderedPageBreak/>
        <w:t>Cour suprême</w:t>
      </w:r>
      <w:r w:rsidRPr="00F52D1E">
        <w:rPr>
          <w:rFonts w:cs="Times New Roman"/>
          <w:lang w:val="fr-CA" w:bidi="en-US"/>
        </w:rPr>
        <w:t>, L.R.C. 1985, c. S</w:t>
      </w:r>
      <w:r w:rsidRPr="00F52D1E">
        <w:rPr>
          <w:rFonts w:cs="Times New Roman"/>
          <w:lang w:val="fr-CA" w:bidi="en-US"/>
        </w:rPr>
        <w:noBreakHyphen/>
        <w:t>26, qui prévoit que trois de ses juges « sont choisis parmi les juges de la Cour d’appel ou de la Cour supérieure de la province de Québec ou parmi les avocats de celle</w:t>
      </w:r>
      <w:r w:rsidRPr="00F52D1E">
        <w:rPr>
          <w:rFonts w:cs="Times New Roman"/>
          <w:lang w:val="fr-CA" w:bidi="en-US"/>
        </w:rPr>
        <w:noBreakHyphen/>
        <w:t>ci ». La juge en chef McLachlin ainsi que les juges LeBel, Abella, Cromwell, Karakatsanis et Wagner ont écrit :</w:t>
      </w:r>
    </w:p>
    <w:p w:rsidR="00CF3116" w:rsidRPr="00F52D1E" w:rsidRDefault="00CF3116" w:rsidP="00CF3116">
      <w:pPr>
        <w:pStyle w:val="Citation-AltC"/>
        <w:ind w:firstLine="250"/>
        <w:rPr>
          <w:lang w:val="fr-CA"/>
        </w:rPr>
      </w:pPr>
      <w:r w:rsidRPr="00F52D1E">
        <w:rPr>
          <w:lang w:val="fr-CA"/>
        </w:rPr>
        <w:t xml:space="preserve">L’objectif de l’art. 6 est de garantir que non seulement des juristes civilistes expérimentés siègent à la Cour, mais également que les traditions juridiques et les valeurs sociales distinctes du Québec y soient représentées, pour renforcer la confiance des Québécois envers la Cour en tant qu’arbitre ultime de leurs droits. Autrement dit, l’art. 6 protège à la fois le </w:t>
      </w:r>
      <w:r w:rsidRPr="00F52D1E">
        <w:rPr>
          <w:i/>
          <w:lang w:val="fr-CA"/>
        </w:rPr>
        <w:t>fonctionnement</w:t>
      </w:r>
      <w:r w:rsidRPr="00F52D1E">
        <w:rPr>
          <w:lang w:val="fr-CA"/>
        </w:rPr>
        <w:t xml:space="preserve"> et la </w:t>
      </w:r>
      <w:r w:rsidRPr="00F52D1E">
        <w:rPr>
          <w:i/>
          <w:lang w:val="fr-CA"/>
        </w:rPr>
        <w:t>légitimité</w:t>
      </w:r>
      <w:r w:rsidRPr="00F52D1E">
        <w:rPr>
          <w:lang w:val="fr-CA"/>
        </w:rPr>
        <w:t xml:space="preserve"> de la Cour </w:t>
      </w:r>
      <w:proofErr w:type="gramStart"/>
      <w:r w:rsidRPr="00F52D1E">
        <w:rPr>
          <w:lang w:val="fr-CA"/>
        </w:rPr>
        <w:t>suprêm</w:t>
      </w:r>
      <w:r w:rsidR="007F5847">
        <w:rPr>
          <w:lang w:val="fr-CA"/>
        </w:rPr>
        <w:t>e .</w:t>
      </w:r>
      <w:proofErr w:type="gramEnd"/>
      <w:r w:rsidR="007F5847">
        <w:rPr>
          <w:lang w:val="fr-CA"/>
        </w:rPr>
        <w:t> . .</w:t>
      </w:r>
      <w:r w:rsidRPr="00F52D1E">
        <w:rPr>
          <w:lang w:val="fr-CA"/>
        </w:rPr>
        <w:t xml:space="preserve"> [</w:t>
      </w:r>
      <w:r w:rsidR="0019745F">
        <w:rPr>
          <w:lang w:val="fr-CA"/>
        </w:rPr>
        <w:t>En i</w:t>
      </w:r>
      <w:r w:rsidRPr="00F52D1E">
        <w:rPr>
          <w:lang w:val="fr-CA"/>
        </w:rPr>
        <w:t>talique dans l’original; par. 49.]</w:t>
      </w:r>
    </w:p>
    <w:p w:rsidR="00CF3116" w:rsidRPr="00F52D1E" w:rsidRDefault="00CF3116" w:rsidP="00CF3116">
      <w:pPr>
        <w:pStyle w:val="ContinueParaSuitedupar-AltP"/>
        <w:rPr>
          <w:rFonts w:cs="Times New Roman"/>
          <w:lang w:val="fr-CA"/>
        </w:rPr>
      </w:pPr>
      <w:r w:rsidRPr="00F52D1E">
        <w:rPr>
          <w:rFonts w:cs="Times New Roman"/>
          <w:lang w:val="fr-CA"/>
        </w:rPr>
        <w:t>Ces préoccupations sont importantes pour chaque province. La Constitution garantit que les juges de chaque province ne sont pas seulement compétents sur le plan technique, mais qu’ils sont également liés aux réalités politiques et culturelles distinctes de leur province.</w:t>
      </w:r>
    </w:p>
    <w:p w:rsidR="00CF3116" w:rsidRPr="00F52D1E" w:rsidRDefault="00CF3116" w:rsidP="00CF3116">
      <w:pPr>
        <w:pStyle w:val="ParaNoNdepar-AltN"/>
        <w:rPr>
          <w:rFonts w:cs="Times New Roman"/>
          <w:lang w:val="fr-CA"/>
        </w:rPr>
      </w:pPr>
      <w:r w:rsidRPr="00F52D1E">
        <w:rPr>
          <w:rFonts w:cs="Times New Roman"/>
          <w:lang w:val="fr-CA"/>
        </w:rPr>
        <w:t xml:space="preserve">Les frontières provinciales sont une caractéristique essentielle du système de cours supérieures provinciales, tout comme elles en sont une en ce qui a trait aux pouvoirs législatifs des provinces. Comme le juge LeBel l’a affirmé dans </w:t>
      </w:r>
      <w:r w:rsidRPr="00F52D1E">
        <w:rPr>
          <w:rFonts w:cs="Times New Roman"/>
          <w:i/>
          <w:lang w:val="fr-CA"/>
        </w:rPr>
        <w:t>Van Breda</w:t>
      </w:r>
      <w:r w:rsidR="000D363E">
        <w:rPr>
          <w:rFonts w:cs="Times New Roman"/>
          <w:lang w:val="fr-CA"/>
        </w:rPr>
        <w:t>, au par. 21 :</w:t>
      </w:r>
    </w:p>
    <w:p w:rsidR="00CF3116" w:rsidRPr="00F52D1E" w:rsidRDefault="00CF3116" w:rsidP="00CF3116">
      <w:pPr>
        <w:pStyle w:val="Citation-AltC"/>
        <w:rPr>
          <w:lang w:val="fr-CA"/>
        </w:rPr>
      </w:pPr>
      <w:r w:rsidRPr="00F52D1E">
        <w:rPr>
          <w:lang w:val="fr-CA"/>
        </w:rPr>
        <w:t>L’interaction de la compétence provinciale et des situations juridiques survenues à l’extérieur de la province se situe à l’intérieur d’un cadre constitutionnel qui limite la portée extraterritoriale des lois provinciales et des tribunaux provinciaux. En effet, la Constitution attribue des pouvoirs aux provinces, mais elle n’en autorise l’exercice que sur leur territoire [. . .] et dans le respect des restrictions territoriales prévues par la Constitution [. . .]</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Plus particulièrement, le système de cours supérieures provinciales garantit que les revendications territoriales dans une province donnée ou les contestations de ses lois sont entendues par un juge de cette province. Comme nous l’avons expliqué, cette restriction est compatible avec l’arrêt </w:t>
      </w:r>
      <w:r w:rsidRPr="00F52D1E">
        <w:rPr>
          <w:rFonts w:cs="Times New Roman"/>
          <w:i/>
          <w:lang w:val="fr-CA"/>
        </w:rPr>
        <w:t>Hunt</w:t>
      </w:r>
      <w:r w:rsidRPr="00F52D1E">
        <w:rPr>
          <w:rFonts w:cs="Times New Roman"/>
          <w:lang w:val="fr-CA"/>
        </w:rPr>
        <w:t xml:space="preserve">, puisque cette décision n’a pas traité de la compétence </w:t>
      </w:r>
      <w:r w:rsidRPr="00F52D1E">
        <w:rPr>
          <w:rFonts w:cs="Times New Roman"/>
          <w:i/>
          <w:lang w:val="fr-CA"/>
        </w:rPr>
        <w:t>territoriale</w:t>
      </w:r>
      <w:r w:rsidRPr="00F52D1E">
        <w:rPr>
          <w:rFonts w:cs="Times New Roman"/>
          <w:lang w:val="fr-CA"/>
        </w:rPr>
        <w:t xml:space="preserve"> des cours supérieures. Ainsi, les revendications qui touchent le plus profondément au cœur de la souveraineté d’une province sont tranchées par un juge lié aux réalités de cette dernière. Cela accroît la confiance du public envers les tribunaux et protège leur fonctionnement et leur légitimité, surtout si l’issue du litige est défavorable à la province.</w:t>
      </w:r>
    </w:p>
    <w:p w:rsidR="00CF3116" w:rsidRPr="00F52D1E" w:rsidRDefault="00CF3116" w:rsidP="00CF3116">
      <w:pPr>
        <w:pStyle w:val="ParaNoNdepar-AltN"/>
        <w:rPr>
          <w:rFonts w:cs="Times New Roman"/>
          <w:lang w:val="fr-CA"/>
        </w:rPr>
      </w:pPr>
      <w:r w:rsidRPr="00F52D1E">
        <w:rPr>
          <w:rFonts w:cs="Times New Roman"/>
          <w:lang w:val="fr-CA"/>
        </w:rPr>
        <w:t>La structure fédérale du Canada a été conçue pour tenir compte des réalités politique et sociale des colonies confédérées, non pas de celles des peuples autochtones. Les frontières provinciales ont été imposées à ces derniers sans égard pour l’organisation antérieure de leurs sociétés. Un territoire qui, du point de vue des autochtones, constitue une entité unifiée est divisé, du point de vue des non</w:t>
      </w:r>
      <w:r w:rsidRPr="00F52D1E">
        <w:rPr>
          <w:rFonts w:cs="Times New Roman"/>
          <w:lang w:val="fr-CA"/>
        </w:rPr>
        <w:noBreakHyphen/>
        <w:t xml:space="preserve">autochtones, entre deux entités législatives souveraines dotées de lois et d’institutions distinctes. Les tribunaux ne peuvent répondre à cette réalité historique que dans le cadre constitutionnel dont ils tirent leur autorité. Près du cœur de ce cadre constitutionnel, on retrouve les frontières provinciales qui délimitent la compétence des cours supérieures provinciales distinctes et qui sont le reflet du principe constitutionnel du fédéralisme. L’article 35 </w:t>
      </w:r>
      <w:proofErr w:type="gramStart"/>
      <w:r w:rsidRPr="00F52D1E">
        <w:rPr>
          <w:rFonts w:cs="Times New Roman"/>
          <w:lang w:val="fr-CA"/>
        </w:rPr>
        <w:t>commande</w:t>
      </w:r>
      <w:proofErr w:type="gramEnd"/>
      <w:r w:rsidRPr="00F52D1E">
        <w:rPr>
          <w:rFonts w:cs="Times New Roman"/>
          <w:lang w:val="fr-CA"/>
        </w:rPr>
        <w:t xml:space="preserve"> que les tribunaux rendent justice aux revendications de droits ancestraux qui transcendent les frontières provinciales, mais il ne les autorise pas à faire fi des frontières provinciales elles</w:t>
      </w:r>
      <w:r w:rsidRPr="00F52D1E">
        <w:rPr>
          <w:rFonts w:cs="Times New Roman"/>
          <w:lang w:val="fr-CA"/>
        </w:rPr>
        <w:noBreakHyphen/>
        <w:t>mêmes. Aucune de ces considérations ne peut être subordonnée à l’autre; elles doivent plutôt être conciliées.</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lastRenderedPageBreak/>
        <w:t xml:space="preserve">Les jugements déclaratoires sollicités sont contraires à </w:t>
      </w:r>
      <w:r w:rsidR="000D363E">
        <w:rPr>
          <w:rFonts w:cs="Times New Roman"/>
          <w:lang w:val="fr-CA"/>
        </w:rPr>
        <w:t>la structure fédérale du Canada</w:t>
      </w:r>
    </w:p>
    <w:p w:rsidR="00CF3116" w:rsidRPr="00F52D1E" w:rsidRDefault="00CF3116" w:rsidP="00CF3116">
      <w:pPr>
        <w:pStyle w:val="ParaNoNdepar-AltN"/>
        <w:rPr>
          <w:rFonts w:cs="Times New Roman"/>
          <w:lang w:val="fr-CA"/>
        </w:rPr>
      </w:pPr>
      <w:r w:rsidRPr="00F52D1E">
        <w:rPr>
          <w:rFonts w:cs="Times New Roman"/>
          <w:lang w:val="fr-CA"/>
        </w:rPr>
        <w:t>On a fait valoir devant nous que quelque déclaration que ce soit reconnaissant un titre ancestral en l’espèce ne pourrait être opposée à la Couronne, mais qu’elle servirait plutôt uniquement à établir la responsabilité civile d’entités privées. Nous ne sommes pas persuadés que les déclarations reconnaissant un titre ancestral puissent fonctionner de cette façon, et nous ne considérons pas qu’il s’agisse d’un résultat souhaitable.</w:t>
      </w:r>
    </w:p>
    <w:p w:rsidR="00CF3116" w:rsidRPr="00F52D1E" w:rsidRDefault="00CF3116" w:rsidP="00CF3116">
      <w:pPr>
        <w:pStyle w:val="ParaNoNdepar-AltN"/>
        <w:rPr>
          <w:rFonts w:cs="Times New Roman"/>
          <w:lang w:val="fr-CA"/>
        </w:rPr>
      </w:pPr>
      <w:r w:rsidRPr="00F52D1E">
        <w:rPr>
          <w:rFonts w:cs="Times New Roman"/>
          <w:lang w:val="fr-CA"/>
        </w:rPr>
        <w:t>Un jugement déclaratoire est une [</w:t>
      </w:r>
      <w:r w:rsidRPr="00F52D1E">
        <w:rPr>
          <w:rFonts w:cs="Times New Roman"/>
          <w:smallCaps/>
          <w:lang w:val="fr-CA"/>
        </w:rPr>
        <w:t>traduction</w:t>
      </w:r>
      <w:r w:rsidRPr="00F52D1E">
        <w:rPr>
          <w:rFonts w:cs="Times New Roman"/>
          <w:lang w:val="fr-CA"/>
        </w:rPr>
        <w:t xml:space="preserve">] « déclaration judiciaire confirmant ou niant le droit légal du demandeur » : Sarna, p. 1. Fait important, avant qu’une cour puisse prononcer un tel jugement, elle doit avoir compétence pour entendre l’affaire : </w:t>
      </w:r>
      <w:r w:rsidRPr="00F52D1E">
        <w:rPr>
          <w:rFonts w:cs="Times New Roman"/>
          <w:i/>
          <w:lang w:val="fr-CA"/>
        </w:rPr>
        <w:t>Ewert c. Canada</w:t>
      </w:r>
      <w:r w:rsidRPr="00F52D1E">
        <w:rPr>
          <w:rFonts w:cs="Times New Roman"/>
          <w:lang w:val="fr-CA"/>
        </w:rPr>
        <w:t xml:space="preserve">, 2018 CSC 30, [2018] 2 R.C.S. 165, par. 81; </w:t>
      </w:r>
      <w:r w:rsidRPr="00F52D1E">
        <w:rPr>
          <w:rFonts w:cs="Times New Roman"/>
          <w:i/>
          <w:lang w:val="fr-CA"/>
        </w:rPr>
        <w:t>S.A. c. Metro Vancouver Housing Corp.</w:t>
      </w:r>
      <w:r w:rsidRPr="00F52D1E">
        <w:rPr>
          <w:rFonts w:cs="Times New Roman"/>
          <w:lang w:val="fr-CA"/>
        </w:rPr>
        <w:t xml:space="preserve">, 2019 CSC 4, </w:t>
      </w:r>
      <w:r w:rsidR="007F5847">
        <w:rPr>
          <w:rFonts w:cs="Times New Roman"/>
          <w:lang w:val="fr-CA"/>
        </w:rPr>
        <w:t xml:space="preserve">[2019] 1 R.C.S. 99, </w:t>
      </w:r>
      <w:r w:rsidRPr="00F52D1E">
        <w:rPr>
          <w:rFonts w:cs="Times New Roman"/>
          <w:lang w:val="fr-CA"/>
        </w:rPr>
        <w:t xml:space="preserve">par. 60. Même si, techniquement, une déclaration n’est pas exécutoire, elle constitue un outil puissant dans le contexte d’un litige auquel des gouvernements sont mêlés, puisqu’il est tenu pour acquis que ces derniers se conformeront tant à la lettre qu’à l’esprit de la déclaration : K. Roach, </w:t>
      </w:r>
      <w:r w:rsidRPr="00F52D1E">
        <w:rPr>
          <w:rFonts w:cs="Times New Roman"/>
          <w:i/>
          <w:lang w:val="fr-CA"/>
        </w:rPr>
        <w:t>Constitutional Remedies in Canada</w:t>
      </w:r>
      <w:r w:rsidRPr="00F52D1E">
        <w:rPr>
          <w:rFonts w:cs="Times New Roman"/>
          <w:lang w:val="fr-CA"/>
        </w:rPr>
        <w:t xml:space="preserve"> (2</w:t>
      </w:r>
      <w:r w:rsidRPr="00F52D1E">
        <w:rPr>
          <w:rFonts w:cs="Times New Roman"/>
          <w:vertAlign w:val="superscript"/>
          <w:lang w:val="fr-CA"/>
        </w:rPr>
        <w:t>e</w:t>
      </w:r>
      <w:r w:rsidRPr="00F52D1E">
        <w:rPr>
          <w:rFonts w:cs="Times New Roman"/>
          <w:lang w:val="fr-CA"/>
        </w:rPr>
        <w:t xml:space="preserve"> éd. (feuilles mobiles)), p. 15</w:t>
      </w:r>
      <w:r w:rsidRPr="00F52D1E">
        <w:rPr>
          <w:rFonts w:cs="Times New Roman"/>
          <w:lang w:val="fr-CA"/>
        </w:rPr>
        <w:noBreakHyphen/>
        <w:t>63 à 15</w:t>
      </w:r>
      <w:r w:rsidRPr="00F52D1E">
        <w:rPr>
          <w:rFonts w:cs="Times New Roman"/>
          <w:lang w:val="fr-CA"/>
        </w:rPr>
        <w:noBreakHyphen/>
        <w:t xml:space="preserve">64; </w:t>
      </w:r>
      <w:r w:rsidRPr="00F52D1E">
        <w:rPr>
          <w:rFonts w:cs="Times New Roman"/>
          <w:i/>
          <w:lang w:val="fr-CA"/>
        </w:rPr>
        <w:t>Assiniboine c.</w:t>
      </w:r>
      <w:r w:rsidRPr="00F52D1E">
        <w:rPr>
          <w:rFonts w:cs="Times New Roman"/>
          <w:lang w:val="fr-CA"/>
        </w:rPr>
        <w:t xml:space="preserve"> </w:t>
      </w:r>
      <w:r w:rsidRPr="00F52D1E">
        <w:rPr>
          <w:rFonts w:cs="Times New Roman"/>
          <w:i/>
          <w:lang w:val="fr-CA"/>
        </w:rPr>
        <w:t>Meeches</w:t>
      </w:r>
      <w:r w:rsidRPr="00F52D1E">
        <w:rPr>
          <w:rFonts w:cs="Times New Roman"/>
          <w:lang w:val="fr-CA"/>
        </w:rPr>
        <w:t>, 2013 CAF 114, 444 N.R. 285, par. 13</w:t>
      </w:r>
      <w:r w:rsidRPr="00F52D1E">
        <w:rPr>
          <w:rFonts w:cs="Times New Roman"/>
          <w:lang w:val="fr-CA"/>
        </w:rPr>
        <w:noBreakHyphen/>
        <w:t xml:space="preserve">15. En effet, il a été affirmé dans l’affaire </w:t>
      </w:r>
      <w:r w:rsidRPr="00F52D1E">
        <w:rPr>
          <w:rFonts w:cs="Times New Roman"/>
          <w:i/>
          <w:lang w:val="fr-CA"/>
        </w:rPr>
        <w:t>Meeches</w:t>
      </w:r>
      <w:r w:rsidRPr="00F52D1E">
        <w:rPr>
          <w:rFonts w:cs="Times New Roman"/>
          <w:lang w:val="fr-CA"/>
        </w:rPr>
        <w:t xml:space="preserve"> que :</w:t>
      </w:r>
    </w:p>
    <w:p w:rsidR="00CF3116" w:rsidRPr="00F52D1E" w:rsidRDefault="00CF3116" w:rsidP="00CF3116">
      <w:pPr>
        <w:pStyle w:val="Citation-AltC"/>
      </w:pPr>
      <w:r w:rsidRPr="00F52D1E">
        <w:rPr>
          <w:lang w:val="fr-FR"/>
        </w:rPr>
        <w:t xml:space="preserve">. . . le principe selon lequel les organismes publics et leurs fonctionnaires doivent se conformer à la loi est un aspect fondamental du principe de la primauté du droit qui est maintenant inscrit dans la Constitution du Canada, au préambule de la </w:t>
      </w:r>
      <w:r w:rsidRPr="00F52D1E">
        <w:rPr>
          <w:i/>
          <w:lang w:val="fr-FR"/>
        </w:rPr>
        <w:t>Charte canadienne des droits et libertés</w:t>
      </w:r>
      <w:r w:rsidRPr="00F52D1E">
        <w:rPr>
          <w:i/>
          <w:iCs/>
          <w:lang w:val="fr-FR"/>
        </w:rPr>
        <w:t xml:space="preserve">. </w:t>
      </w:r>
      <w:r w:rsidRPr="00F52D1E">
        <w:rPr>
          <w:u w:val="single"/>
          <w:lang w:val="fr-FR"/>
        </w:rPr>
        <w:t>Ainsi, l’organisme public ou le fonctionnaire visé par une ordonnance déclaratoire est lié par cette ordonnance et a l’obligation de s’y conformer.</w:t>
      </w:r>
      <w:r w:rsidRPr="00F52D1E">
        <w:rPr>
          <w:lang w:val="fr-FR"/>
        </w:rPr>
        <w:t xml:space="preserve"> </w:t>
      </w:r>
      <w:r w:rsidRPr="00F52D1E">
        <w:t>[Nous soulignons; par. 14.]</w:t>
      </w:r>
    </w:p>
    <w:p w:rsidR="00CF3116" w:rsidRPr="00F52D1E" w:rsidRDefault="00CF3116" w:rsidP="00CF3116">
      <w:pPr>
        <w:pStyle w:val="ParaNoNdepar-AltN"/>
        <w:rPr>
          <w:rFonts w:cs="Times New Roman"/>
          <w:lang w:val="fr-CA"/>
        </w:rPr>
      </w:pPr>
      <w:r w:rsidRPr="00F52D1E">
        <w:rPr>
          <w:rFonts w:cs="Times New Roman"/>
          <w:lang w:val="fr-CA"/>
        </w:rPr>
        <w:lastRenderedPageBreak/>
        <w:t>Pour cette raison, les jugements déclaratoires reconnaissant l’existence de droits ancestraux sont devenus les principales mesures de réparation pour garantir ces droits : Roach, p. 15</w:t>
      </w:r>
      <w:r w:rsidRPr="00F52D1E">
        <w:rPr>
          <w:rFonts w:cs="Times New Roman"/>
          <w:lang w:val="fr-CA"/>
        </w:rPr>
        <w:noBreakHyphen/>
        <w:t xml:space="preserve">63. Le paragraphe 35(1) prévoit que « [l]es droits </w:t>
      </w:r>
      <w:r w:rsidRPr="00F52D1E">
        <w:rPr>
          <w:rFonts w:cs="Times New Roman"/>
          <w:u w:val="single"/>
          <w:lang w:val="fr-CA"/>
        </w:rPr>
        <w:t>existants</w:t>
      </w:r>
      <w:r w:rsidRPr="00F52D1E">
        <w:rPr>
          <w:rFonts w:cs="Times New Roman"/>
          <w:lang w:val="fr-CA"/>
        </w:rPr>
        <w:t xml:space="preserve"> — ancestraux ou issus de traités — des peuples autochtones du Canada sont reconnus et confirmés ». C’est en obtenant un jugement déclaratoire que les groupes autochtones peuvent établir l’existence de ces droits, y compris celle d’un titre ancestral.</w:t>
      </w:r>
    </w:p>
    <w:p w:rsidR="00CF3116" w:rsidRPr="00F52D1E" w:rsidRDefault="00CF3116" w:rsidP="00CF3116">
      <w:pPr>
        <w:pStyle w:val="ParaNoNdepar-AltN"/>
        <w:rPr>
          <w:rFonts w:cs="Times New Roman"/>
          <w:lang w:val="fr-CA"/>
        </w:rPr>
      </w:pPr>
      <w:r w:rsidRPr="00F52D1E">
        <w:rPr>
          <w:rFonts w:cs="Times New Roman"/>
          <w:lang w:val="fr-CA"/>
        </w:rPr>
        <w:t>Nous sommes sceptiques quant à la position qu’on nous invite à adopter selon laquelle la déclaration judiciaire reconnaissant l’existence d’un titre ancestral pourrait être prononc</w:t>
      </w:r>
      <w:r w:rsidR="00E51CCA">
        <w:rPr>
          <w:rFonts w:cs="Times New Roman"/>
          <w:lang w:val="fr-CA"/>
        </w:rPr>
        <w:t>ée sans lier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pour les portions du territoire de Nitassinan situées dans cette province. Les tribunaux ne prononcent pas de déclaration en vain; ainsi, une telle déclaration devrait être envisagée </w:t>
      </w:r>
      <w:r w:rsidRPr="00F52D1E">
        <w:rPr>
          <w:rFonts w:cs="Times New Roman"/>
          <w:i/>
          <w:lang w:val="fr-CA"/>
        </w:rPr>
        <w:t>seulement</w:t>
      </w:r>
      <w:r w:rsidRPr="00F52D1E">
        <w:rPr>
          <w:rFonts w:cs="Times New Roman"/>
          <w:lang w:val="fr-CA"/>
        </w:rPr>
        <w:t xml:space="preserve"> si elle aura pour effet de lier la Couronne, puisque la déclaration confirme l’existence d’un droit protégé par l’art. 35, ce qui, en retour, fait peser d’importantes responsabilités sur la Couronne.</w:t>
      </w:r>
    </w:p>
    <w:p w:rsidR="00CF3116" w:rsidRPr="00F52D1E" w:rsidRDefault="00CF3116" w:rsidP="00CF3116">
      <w:pPr>
        <w:pStyle w:val="ParaNoNdepar-AltN"/>
        <w:rPr>
          <w:rFonts w:cs="Times New Roman"/>
          <w:lang w:val="fr-CA"/>
        </w:rPr>
      </w:pPr>
      <w:r w:rsidRPr="00F52D1E">
        <w:rPr>
          <w:rFonts w:cs="Times New Roman"/>
          <w:lang w:val="fr-CA"/>
        </w:rPr>
        <w:t>Le titre ancestral grève le titre sous</w:t>
      </w:r>
      <w:r w:rsidRPr="00F52D1E">
        <w:rPr>
          <w:rFonts w:cs="Times New Roman"/>
          <w:lang w:val="fr-CA"/>
        </w:rPr>
        <w:noBreakHyphen/>
        <w:t xml:space="preserve">jacent de la Couronne; cette charge a pris naissance au moment où la Couronne a affirmé sa souveraineté : </w:t>
      </w:r>
      <w:r w:rsidRPr="00F52D1E">
        <w:rPr>
          <w:rFonts w:cs="Times New Roman"/>
          <w:i/>
          <w:lang w:val="fr-CA" w:bidi="en-US"/>
        </w:rPr>
        <w:t>Delgamuukw</w:t>
      </w:r>
      <w:r w:rsidRPr="00F52D1E">
        <w:rPr>
          <w:rFonts w:cs="Times New Roman"/>
          <w:lang w:val="fr-CA" w:bidi="en-US"/>
        </w:rPr>
        <w:t>, par. 145. Il découle de ce titre sous</w:t>
      </w:r>
      <w:r w:rsidRPr="00F52D1E">
        <w:rPr>
          <w:rFonts w:cs="Times New Roman"/>
          <w:lang w:val="fr-CA" w:bidi="en-US"/>
        </w:rPr>
        <w:noBreakHyphen/>
        <w:t xml:space="preserve">jacent que la Couronne a une obligation fiduciaire envers les peuples autochtones lorsqu’il est question des terres ancestrales et elle détient un droit de porter atteinte au titre s’il est satisfait au critère de justification prévu au par. 35(1) : </w:t>
      </w:r>
      <w:r w:rsidRPr="00F52D1E">
        <w:rPr>
          <w:rFonts w:cs="Times New Roman"/>
          <w:i/>
          <w:lang w:val="fr-CA" w:bidi="en-US"/>
        </w:rPr>
        <w:t>Nation Tsilhqot’in</w:t>
      </w:r>
      <w:r w:rsidRPr="00F52D1E">
        <w:rPr>
          <w:rFonts w:cs="Times New Roman"/>
          <w:lang w:val="fr-CA" w:bidi="en-US"/>
        </w:rPr>
        <w:t>, par. 71.</w:t>
      </w:r>
    </w:p>
    <w:p w:rsidR="00CF3116" w:rsidRPr="00F52D1E" w:rsidRDefault="00CF3116" w:rsidP="00CF3116">
      <w:pPr>
        <w:pStyle w:val="ParaNoNdepar-AltN"/>
        <w:rPr>
          <w:rFonts w:cs="Times New Roman"/>
          <w:lang w:val="fr-CA"/>
        </w:rPr>
      </w:pPr>
      <w:r w:rsidRPr="00F52D1E">
        <w:rPr>
          <w:rFonts w:cs="Times New Roman"/>
          <w:lang w:val="fr-CA"/>
        </w:rPr>
        <w:t xml:space="preserve">Tout litige concernant un titre ancestral touche la Couronne : </w:t>
      </w:r>
      <w:r w:rsidRPr="00F52D1E">
        <w:rPr>
          <w:rFonts w:cs="Times New Roman"/>
          <w:i/>
          <w:lang w:val="fr-CA"/>
        </w:rPr>
        <w:t>William c. British Columbia</w:t>
      </w:r>
      <w:r w:rsidRPr="00F52D1E">
        <w:rPr>
          <w:rFonts w:cs="Times New Roman"/>
          <w:lang w:val="fr-CA"/>
        </w:rPr>
        <w:t xml:space="preserve">, 2002 BCSC 1904, par. 30 (CanLII). La participation de cette </w:t>
      </w:r>
      <w:r w:rsidRPr="00F52D1E">
        <w:rPr>
          <w:rFonts w:cs="Times New Roman"/>
          <w:lang w:val="fr-CA"/>
        </w:rPr>
        <w:lastRenderedPageBreak/>
        <w:t xml:space="preserve">dernière est nécessaire, même s’il n’est pas demandé au tribunal de reconnaître explicitement l’existence du titre : </w:t>
      </w:r>
      <w:r w:rsidRPr="00F52D1E">
        <w:rPr>
          <w:rFonts w:cs="Times New Roman"/>
          <w:i/>
          <w:lang w:val="fr-CA"/>
        </w:rPr>
        <w:t>Thomas c. Rio Tinto Alcan Inc</w:t>
      </w:r>
      <w:r w:rsidRPr="00F52D1E">
        <w:rPr>
          <w:rFonts w:cs="Times New Roman"/>
          <w:lang w:val="fr-CA"/>
        </w:rPr>
        <w:t xml:space="preserve">., 2016 BCSC 1474, 92 C.P.C. (7th) 122, par. 21 et 25. Même la simple revendication d’un titre ancestral a une incidence fondamentale sur les intérêts de la Couronne : </w:t>
      </w:r>
      <w:r w:rsidRPr="00F52D1E">
        <w:rPr>
          <w:rFonts w:cs="Times New Roman"/>
          <w:i/>
          <w:lang w:val="fr-CA"/>
        </w:rPr>
        <w:t>Nation Haïda</w:t>
      </w:r>
      <w:r w:rsidRPr="00F52D1E">
        <w:rPr>
          <w:rFonts w:cs="Times New Roman"/>
          <w:lang w:val="fr-CA"/>
        </w:rPr>
        <w:t xml:space="preserve">, par. 26-51. La reconnaissance d’un titre ancestral accroît pour sa part la relation de type fiduciaire : </w:t>
      </w:r>
      <w:r w:rsidRPr="00F52D1E">
        <w:rPr>
          <w:rFonts w:cs="Times New Roman"/>
          <w:i/>
          <w:lang w:val="fr-CA"/>
        </w:rPr>
        <w:t>Guerin</w:t>
      </w:r>
      <w:r w:rsidRPr="00F52D1E">
        <w:rPr>
          <w:rFonts w:cs="Times New Roman"/>
          <w:lang w:val="fr-CA"/>
        </w:rPr>
        <w:t xml:space="preserve">, p. 349. Une fois le titre ancestral établi, les gouvernements et les autres qui souhaitent utiliser le territoire doivent obtenir le consentement des détenteurs du titre : </w:t>
      </w:r>
      <w:r w:rsidRPr="00F52D1E">
        <w:rPr>
          <w:rFonts w:cs="Times New Roman"/>
          <w:i/>
          <w:lang w:val="fr-CA"/>
        </w:rPr>
        <w:t>Nation Tsilhqot’in</w:t>
      </w:r>
      <w:r w:rsidRPr="00F52D1E">
        <w:rPr>
          <w:rFonts w:cs="Times New Roman"/>
          <w:lang w:val="fr-CA"/>
        </w:rPr>
        <w:t>, par. 76.</w:t>
      </w:r>
    </w:p>
    <w:p w:rsidR="00CF3116" w:rsidRPr="00F52D1E" w:rsidRDefault="00CF3116" w:rsidP="00CF3116">
      <w:pPr>
        <w:pStyle w:val="ParaNoNdepar-AltN"/>
        <w:rPr>
          <w:rFonts w:cs="Times New Roman"/>
          <w:lang w:val="fr-CA"/>
        </w:rPr>
      </w:pPr>
      <w:r w:rsidRPr="00F52D1E">
        <w:rPr>
          <w:rFonts w:cs="Times New Roman"/>
          <w:lang w:val="fr-CA"/>
        </w:rPr>
        <w:t>Nous sommes également sceptiques quant à la proposition suivante que formulent nos collègues dans leurs motifs :</w:t>
      </w:r>
    </w:p>
    <w:p w:rsidR="00CF3116" w:rsidRPr="00F52D1E" w:rsidRDefault="00CF3116" w:rsidP="00CF3116">
      <w:pPr>
        <w:pStyle w:val="Citation-AltC"/>
        <w:rPr>
          <w:lang w:val="fr-CA" w:bidi="en-US"/>
        </w:rPr>
      </w:pPr>
      <w:r w:rsidRPr="00F52D1E">
        <w:rPr>
          <w:lang w:val="fr-CA" w:bidi="en-US"/>
        </w:rPr>
        <w:t>Notre décision ne devrait toutefois pas être interprétée comme une fin de non</w:t>
      </w:r>
      <w:r w:rsidRPr="00F52D1E">
        <w:rPr>
          <w:lang w:val="fr-CA" w:bidi="en-US"/>
        </w:rPr>
        <w:noBreakHyphen/>
        <w:t>recevoir à la participation de la Couronne de Terre</w:t>
      </w:r>
      <w:r w:rsidRPr="00F52D1E">
        <w:rPr>
          <w:lang w:val="fr-CA" w:bidi="en-US"/>
        </w:rPr>
        <w:noBreakHyphen/>
        <w:t>Neuve</w:t>
      </w:r>
      <w:r w:rsidRPr="00F52D1E">
        <w:rPr>
          <w:lang w:val="fr-CA" w:bidi="en-US"/>
        </w:rPr>
        <w:noBreakHyphen/>
        <w:t>et</w:t>
      </w:r>
      <w:r w:rsidRPr="00F52D1E">
        <w:rPr>
          <w:lang w:val="fr-CA" w:bidi="en-US"/>
        </w:rPr>
        <w:noBreakHyphen/>
        <w:t>Labrador à l’instance, si elle le souhaite, pour faire valoir ses droits et ses intérêts, de même que pour présenter ses observations quant à la portée que devrait avoir tout jugement déclaratoire. [Référence omise; par. 7</w:t>
      </w:r>
      <w:r>
        <w:rPr>
          <w:lang w:val="fr-CA" w:bidi="en-US"/>
        </w:rPr>
        <w:t>2</w:t>
      </w:r>
      <w:r w:rsidRPr="00F52D1E">
        <w:rPr>
          <w:lang w:val="fr-CA" w:bidi="en-US"/>
        </w:rPr>
        <w:t>.]</w:t>
      </w:r>
    </w:p>
    <w:p w:rsidR="00CF3116" w:rsidRPr="00F52D1E" w:rsidRDefault="00CF3116" w:rsidP="00CF3116">
      <w:pPr>
        <w:pStyle w:val="ContinueParaSuitedupar-AltP"/>
        <w:rPr>
          <w:rFonts w:cs="Times New Roman"/>
          <w:lang w:val="fr-CA" w:bidi="en-US"/>
        </w:rPr>
      </w:pPr>
      <w:r w:rsidRPr="00F52D1E">
        <w:rPr>
          <w:rFonts w:cs="Times New Roman"/>
          <w:lang w:val="fr-CA" w:bidi="en-US"/>
        </w:rPr>
        <w:t xml:space="preserve">Nous ne comprenons pas comment la portée d’un jugement déclaratoire reconnaissant l’existence d’un titre ancestral sur un territoire qui se trouve au Labrador pourrait être limitée de façon appropriée. À cet égard, le PGTNL s’oppose à la demande en faisant valoir que les tribunaux du Québec ne peuvent même pas prononcer un tel jugement déclaratoire. Nous nous demandons comment, dans la mesure où nos collègues ont conclu que les tribunaux du Québec </w:t>
      </w:r>
      <w:r w:rsidRPr="00F52D1E">
        <w:rPr>
          <w:rFonts w:cs="Times New Roman"/>
          <w:i/>
          <w:lang w:val="fr-CA" w:bidi="en-US"/>
        </w:rPr>
        <w:t>ont bel et bien</w:t>
      </w:r>
      <w:r w:rsidRPr="00F52D1E">
        <w:rPr>
          <w:rFonts w:cs="Times New Roman"/>
          <w:lang w:val="fr-CA" w:bidi="en-US"/>
        </w:rPr>
        <w:t xml:space="preserve"> un tel pouvoir, la portée d’un tel jugement déclaratoire pourrait être limitée d’une manière qui respecte les impératifs du fédéralisme canadien. En outre, la participation du PGTNL dans les procédures devant la Cour supérieure du Québec pourrait être perçue comme une reconnaissance tacite de la compétence de la Cour, en dépit de sa contestation de cette compétence dès le départ.</w:t>
      </w:r>
    </w:p>
    <w:p w:rsidR="00CF3116" w:rsidRPr="00F52D1E" w:rsidRDefault="00CF3116" w:rsidP="00CF3116">
      <w:pPr>
        <w:pStyle w:val="ParaNoNdepar-AltN"/>
        <w:rPr>
          <w:rFonts w:cs="Times New Roman"/>
          <w:lang w:val="fr-CA"/>
        </w:rPr>
      </w:pPr>
      <w:r w:rsidRPr="00F52D1E">
        <w:rPr>
          <w:rFonts w:cs="Times New Roman"/>
          <w:lang w:val="fr-CA"/>
        </w:rPr>
        <w:lastRenderedPageBreak/>
        <w:t>Les cours d’instances inférieures savaient pertinemment quelle incidence la présente cause aurait sur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Lorsqu’il a statué sur une première requête en radiation d’allégations, le juge Blanchard a reconnu que les cours seraient tenues « de se prononcer sur les droits constitutionnels qui existeraient à l’égard de la Couronne, tant du Chef du Canada, que du Québec et </w:t>
      </w:r>
      <w:r w:rsidRPr="00F52D1E">
        <w:rPr>
          <w:rFonts w:cs="Times New Roman"/>
          <w:u w:val="single"/>
          <w:lang w:val="fr-CA"/>
        </w:rPr>
        <w:t>de Terre</w:t>
      </w:r>
      <w:r w:rsidRPr="00F52D1E">
        <w:rPr>
          <w:rFonts w:cs="Times New Roman"/>
          <w:u w:val="single"/>
          <w:lang w:val="fr-CA"/>
        </w:rPr>
        <w:noBreakHyphen/>
        <w:t>Neuve</w:t>
      </w:r>
      <w:r w:rsidRPr="00F52D1E">
        <w:rPr>
          <w:rFonts w:cs="Times New Roman"/>
          <w:u w:val="single"/>
          <w:lang w:val="fr-CA"/>
        </w:rPr>
        <w:noBreakHyphen/>
        <w:t>et</w:t>
      </w:r>
      <w:r w:rsidRPr="00F52D1E">
        <w:rPr>
          <w:rFonts w:cs="Times New Roman"/>
          <w:u w:val="single"/>
          <w:lang w:val="fr-CA"/>
        </w:rPr>
        <w:noBreakHyphen/>
        <w:t>Labrador</w:t>
      </w:r>
      <w:r w:rsidRPr="00F52D1E">
        <w:rPr>
          <w:rFonts w:cs="Times New Roman"/>
          <w:lang w:val="fr-CA"/>
        </w:rPr>
        <w:t> » : jugement de la C.S. rejetant la requête en irrecevabilité de IOC et de la CCLNQL, par. 19 (nous soulignons). De même, dans la décision qui a accordé le statut d’intervenant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le juge Davis a expliqué que même si les droits ancestraux existaient avant l’adoption de l’art. 35, « cela </w:t>
      </w:r>
      <w:r w:rsidRPr="00F52D1E">
        <w:rPr>
          <w:rFonts w:cs="Times New Roman"/>
          <w:lang w:val="fr-CA" w:bidi="en-US"/>
        </w:rPr>
        <w:t>ne veut pas dire que la Couronne d’une province où une première nation tente de faire reconnaître ses droits ancestraux n’a pas un intérêt dans le litige</w:t>
      </w:r>
      <w:r w:rsidRPr="00F52D1E">
        <w:rPr>
          <w:rFonts w:cs="Times New Roman"/>
          <w:lang w:val="fr-CA"/>
        </w:rPr>
        <w:t> » compte tenu des obligations fiduciaires et des restrictions sur l’utilisation du territoire qui résulteraient d’une telle reconnaissance : jugement de la C.S. autorisant l’intervention du PGTNL, par. 63. Même la décision examinée rendue par la Cour d’appel a reconnu que « [s]i les Innus souhaitent faire reconnaître leurs revendications autochtones globales au Labrador, ils devront négocier avec le Gouvernement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ou encore saisir les tribunaux de cette province dans le cadre d’une revendication globale » : motifs de la C.A., par. 104.</w:t>
      </w:r>
    </w:p>
    <w:p w:rsidR="00CF3116" w:rsidRPr="00F52D1E" w:rsidRDefault="00CF3116" w:rsidP="00CF3116">
      <w:pPr>
        <w:pStyle w:val="ParaNoNdepar-AltN"/>
        <w:rPr>
          <w:rFonts w:cs="Times New Roman"/>
        </w:rPr>
      </w:pPr>
      <w:r w:rsidRPr="00F52D1E">
        <w:rPr>
          <w:rFonts w:cs="Times New Roman"/>
          <w:lang w:val="fr-CA"/>
        </w:rPr>
        <w:t>Une autre raison pour laquelle la Couronne est une partie nécessaire aux revendications de titres ancestraux découle d’une des caractéristiques fondamentales de ces titres : afin de garantir que les prochaines générations pourront profiter du territoire, ils ne peuvent être cédés qu’à la Couronne (</w:t>
      </w:r>
      <w:r w:rsidRPr="00F52D1E">
        <w:rPr>
          <w:rFonts w:cs="Times New Roman"/>
          <w:i/>
          <w:lang w:val="fr-CA"/>
        </w:rPr>
        <w:t>Delgamuukw</w:t>
      </w:r>
      <w:r w:rsidRPr="00F52D1E">
        <w:rPr>
          <w:rFonts w:cs="Times New Roman"/>
          <w:lang w:val="fr-CA"/>
        </w:rPr>
        <w:t xml:space="preserve">, par. 129; </w:t>
      </w:r>
      <w:r w:rsidRPr="00F52D1E">
        <w:rPr>
          <w:rFonts w:cs="Times New Roman"/>
          <w:i/>
          <w:lang w:val="fr-CA"/>
        </w:rPr>
        <w:t>Nation Tsilhqot’in</w:t>
      </w:r>
      <w:r w:rsidRPr="00F52D1E">
        <w:rPr>
          <w:rFonts w:cs="Times New Roman"/>
          <w:lang w:val="fr-CA"/>
        </w:rPr>
        <w:t xml:space="preserve">, par. 15 et 74). Si les groupes autochtones pouvaient convenir de l’étendue de leurs droits dans le cadre de procédures privées contre des tiers, dans les faits, ils </w:t>
      </w:r>
      <w:r w:rsidRPr="00F52D1E">
        <w:rPr>
          <w:rFonts w:cs="Times New Roman"/>
          <w:lang w:val="fr-CA"/>
        </w:rPr>
        <w:lastRenderedPageBreak/>
        <w:t xml:space="preserve">pourraient effectivement céder leurs terres sans traiter avec la Couronne. </w:t>
      </w:r>
      <w:r w:rsidRPr="00F52D1E">
        <w:rPr>
          <w:rFonts w:cs="Times New Roman"/>
        </w:rPr>
        <w:t>Cela minerait la nature du titre ancestral.</w:t>
      </w:r>
    </w:p>
    <w:p w:rsidR="00CF3116" w:rsidRPr="00F52D1E" w:rsidRDefault="00CF3116" w:rsidP="00CF3116">
      <w:pPr>
        <w:pStyle w:val="ParaNoNdepar-AltN"/>
        <w:rPr>
          <w:rFonts w:cs="Times New Roman"/>
          <w:lang w:val="fr-CA"/>
        </w:rPr>
      </w:pPr>
      <w:r w:rsidRPr="00F52D1E">
        <w:rPr>
          <w:rFonts w:cs="Times New Roman"/>
          <w:lang w:val="fr-CA"/>
        </w:rPr>
        <w:t xml:space="preserve">Manifestement, la Couronne doit donc être partie aux procédures de revendications de titres ancestraux — et doit nécessairement être partie prenante au moment d’une déclaration d’un titre ancestral. Il en découle qu’il n’est pas possible de solliciter « uniquement » contre un tiers un jugement déclaratoire reconnaissant l’existence d’un titre ancestral. Il en découle </w:t>
      </w:r>
      <w:r w:rsidRPr="00F52D1E">
        <w:rPr>
          <w:rFonts w:cs="Times New Roman"/>
          <w:i/>
          <w:lang w:val="fr-CA"/>
        </w:rPr>
        <w:t>aussi</w:t>
      </w:r>
      <w:r w:rsidRPr="00F52D1E">
        <w:rPr>
          <w:rFonts w:cs="Times New Roman"/>
          <w:lang w:val="fr-CA"/>
        </w:rPr>
        <w:t xml:space="preserve"> qu’un jugement déclaratoire relatif à un territoire situé dans une autre province que celle du tribunal saisi de la demande concerne la Couronne du chef de cette autre province. Cela dit, il est également m</w:t>
      </w:r>
      <w:r w:rsidR="00E51CCA">
        <w:rPr>
          <w:rFonts w:cs="Times New Roman"/>
          <w:lang w:val="fr-CA"/>
        </w:rPr>
        <w:t>anifeste que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ne serait pas liée par un jugement déclaratoire censé être applicable uniquement contre un tiers. Comme l’a souligné l’auteur Sarna [</w:t>
      </w:r>
      <w:r w:rsidRPr="00F52D1E">
        <w:rPr>
          <w:rFonts w:cs="Times New Roman"/>
          <w:smallCaps/>
          <w:lang w:val="fr-CA"/>
        </w:rPr>
        <w:t>traduction</w:t>
      </w:r>
      <w:r w:rsidRPr="00F52D1E">
        <w:rPr>
          <w:rFonts w:cs="Times New Roman"/>
          <w:lang w:val="fr-CA"/>
        </w:rPr>
        <w:t>] « aucun tribunal n’a le pouvoir de rendre un jugement déclaratoire statuant sur les droits de personnes ou d’entités qui n’ont pas participé à l’instance ou non désignés dans les circonstances, même si l’existence d’un tel pouvoir a été envisagée sous l’angle des pouvoirs discrétionnaires plutôt que comme une qu</w:t>
      </w:r>
      <w:r w:rsidR="000D363E">
        <w:rPr>
          <w:rFonts w:cs="Times New Roman"/>
          <w:lang w:val="fr-CA"/>
        </w:rPr>
        <w:t>estion de compétence » (p. 87).</w:t>
      </w:r>
    </w:p>
    <w:p w:rsidR="00CF3116" w:rsidRPr="00F52D1E" w:rsidRDefault="00CF3116" w:rsidP="00CF3116">
      <w:pPr>
        <w:pStyle w:val="ParaNoNdepar-AltN"/>
        <w:rPr>
          <w:rFonts w:cs="Times New Roman"/>
          <w:lang w:val="fr-CA"/>
        </w:rPr>
      </w:pPr>
      <w:r w:rsidRPr="00F52D1E">
        <w:rPr>
          <w:rFonts w:cs="Times New Roman"/>
          <w:lang w:val="fr-CA"/>
        </w:rPr>
        <w:t>Non seuleme</w:t>
      </w:r>
      <w:r w:rsidR="00E51CCA">
        <w:rPr>
          <w:rFonts w:cs="Times New Roman"/>
          <w:lang w:val="fr-CA"/>
        </w:rPr>
        <w:t>nt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ne serait pas liée par un tel jugement déclaratoire, mais, comme nous l’avons aussi expliqué, le tribunal qui rendrait un jugement déclaratoire censé être applicable à un territoire situé dans une autre province que celle où il se trouve outrepasserait sa compétence. L’approche préconisée par le PGC aurait donc pour effet que les Innus pourraient consacrer des années à chercher à obtenir un jugement déclaratoire comme mesure de réparation alors que, dans les faits, ce jugement ne leur accorderait pas ce qu’il semble accorder.</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Nos collègues notent que les cours d’instances inférieures n’ont pas examiné la question de savoir si le jugement déclaratoire sera rendu ou s’il devrait l’être. À leur avis, la Cour ne devrait pas non plus le faire, puisqu’il s’agit de décisions prises en application du pouvoir discrétionnaire du tribunal chargé de se prononcer sur le fond de la cause. Ils affirment en outre que la question en litige ici « ne concerne </w:t>
      </w:r>
      <w:r w:rsidRPr="00F52D1E">
        <w:rPr>
          <w:rFonts w:cs="Times New Roman"/>
          <w:u w:val="single"/>
          <w:lang w:val="fr-CA"/>
        </w:rPr>
        <w:t>que</w:t>
      </w:r>
      <w:r w:rsidRPr="00F52D1E">
        <w:rPr>
          <w:rFonts w:cs="Times New Roman"/>
          <w:lang w:val="fr-CA"/>
        </w:rPr>
        <w:t xml:space="preserve"> la compétence des tribunaux québécois pour se prononcer » : par. 43 (nous soulignons). Soit dit en tout respect, cette position minimise nettement l’enjeu. Encore une fois, pour s’opposer à la demande, le PGTNL soutient précisément que les tribunaux du Québec ne peuvent pas se prononcer sur les droits relatifs à un territoire situé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De surcroît, la décision de nos collègues qu’il y a lieu de reporter à une autre fois la question de savoir si le jugement déclaratoire peut être rendu est, certes, bien intentionnée, mais également gravement malavisée. Si une cour ne peut pas accorder aux Innus la réparation qu’ils sollicitent, le principe de l’accès à la justice requiert de déterminer dès que possible quel forum pourrait le faire.</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L’utilisation par le PGC de la « compétence inhérente »</w:t>
      </w:r>
    </w:p>
    <w:p w:rsidR="00CF3116" w:rsidRPr="00F52D1E" w:rsidRDefault="00CF3116" w:rsidP="00CF3116">
      <w:pPr>
        <w:pStyle w:val="ParaNoNdepar-AltN"/>
        <w:rPr>
          <w:rFonts w:cs="Times New Roman"/>
          <w:lang w:val="fr-CA"/>
        </w:rPr>
      </w:pPr>
      <w:r w:rsidRPr="00F52D1E">
        <w:rPr>
          <w:rFonts w:cs="Times New Roman"/>
          <w:lang w:val="fr-CA"/>
        </w:rPr>
        <w:t>L’approche du PGC fondée sur la « compétence inhérente » est, elle aussi, d’une légalité douteuse compte tenu de sa vaste portée. Si une cour supérieure pouvait se prononcer sur les droits ancestraux relatifs à un territoire qui se trouve dans une juridiction voisine (voire éloignée) sur la base de la compétence inhérente des cours supérieures, l’application de ce principe ne pourrait être restreinte à la présente cause. Manifestement, si nous devions conclure que les cours du Québec jouissent d’une compétence inhérente pour trancher des questions relatives à des territoires situés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les cours de cette dernière jouiraient aussi de la compétence </w:t>
      </w:r>
      <w:r w:rsidRPr="00F52D1E">
        <w:rPr>
          <w:rFonts w:cs="Times New Roman"/>
          <w:lang w:val="fr-CA"/>
        </w:rPr>
        <w:lastRenderedPageBreak/>
        <w:t>inhérente de rendre des jugements déclaratoires relativement à des territoires situés au Québec; les cours de l’Ontario auraient compétence relativement aux litiges issus du Manitoba; et les cours de l’Alberta à l’égard de ceux nés en Colombie</w:t>
      </w:r>
      <w:r w:rsidRPr="00F52D1E">
        <w:rPr>
          <w:rFonts w:cs="Times New Roman"/>
          <w:lang w:val="fr-CA"/>
        </w:rPr>
        <w:noBreakHyphen/>
        <w:t xml:space="preserve">Britannique. En outre, </w:t>
      </w:r>
      <w:r w:rsidRPr="00F52D1E">
        <w:rPr>
          <w:rFonts w:cs="Times New Roman"/>
          <w:lang w:val="fr-CA" w:bidi="en-US"/>
        </w:rPr>
        <w:t>en proposant cette approche pour la première fois à titre d’intervenant devant la cour de dernière instance, le PGC a privé les provinces de l’occasion d’y répondre utilement.</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Les incidences sur les frontières provinciales</w:t>
      </w:r>
    </w:p>
    <w:p w:rsidR="00CF3116" w:rsidRPr="00F52D1E" w:rsidRDefault="00CF3116" w:rsidP="00CF3116">
      <w:pPr>
        <w:pStyle w:val="ParaNoNdepar-AltN"/>
        <w:rPr>
          <w:rFonts w:cs="Times New Roman"/>
          <w:lang w:val="fr-CA"/>
        </w:rPr>
      </w:pPr>
      <w:r w:rsidRPr="00F52D1E">
        <w:rPr>
          <w:rFonts w:cs="Times New Roman"/>
          <w:lang w:val="fr-CA"/>
        </w:rPr>
        <w:t>Les revendications des Innus soulèvent la question du tracé de la frontière du Labrador. Dans leur requête introductive d’instance, ils renvoient à la frontière entre le Québec et le Labrador comme étant la « frontière non officielle Québec</w:t>
      </w:r>
      <w:r w:rsidRPr="00F52D1E">
        <w:rPr>
          <w:rFonts w:cs="Times New Roman"/>
          <w:lang w:val="fr-CA"/>
        </w:rPr>
        <w:noBreakHyphen/>
        <w:t xml:space="preserve">Labrador » : </w:t>
      </w:r>
      <w:proofErr w:type="gramStart"/>
      <w:r w:rsidRPr="00F52D1E">
        <w:rPr>
          <w:rFonts w:cs="Times New Roman"/>
          <w:lang w:val="fr-CA"/>
        </w:rPr>
        <w:t>d.a.,</w:t>
      </w:r>
      <w:proofErr w:type="gramEnd"/>
      <w:r w:rsidRPr="00F52D1E">
        <w:rPr>
          <w:rFonts w:cs="Times New Roman"/>
          <w:lang w:val="fr-CA"/>
        </w:rPr>
        <w:t xml:space="preserve"> vol. II, p. 188</w:t>
      </w:r>
      <w:r w:rsidRPr="00F52D1E">
        <w:rPr>
          <w:rFonts w:cs="Times New Roman"/>
          <w:lang w:val="fr-CA"/>
        </w:rPr>
        <w:noBreakHyphen/>
        <w:t xml:space="preserve">189. Dans des procédures subséquentes, les Innus ont explicitement indiqué qu’ils ont l’intention de faire valoir que la décision dans </w:t>
      </w:r>
      <w:r w:rsidRPr="00F52D1E">
        <w:rPr>
          <w:rFonts w:cs="Times New Roman"/>
          <w:i/>
          <w:lang w:val="fr-CA"/>
        </w:rPr>
        <w:t>re Labrador Boundary</w:t>
      </w:r>
      <w:r w:rsidRPr="00F52D1E">
        <w:rPr>
          <w:rFonts w:cs="Times New Roman"/>
          <w:lang w:val="fr-CA"/>
        </w:rPr>
        <w:t xml:space="preserve">, [1927] 2 D.L.R. 401 (C.P.) — la décision qui a statué sur la frontière entre le Québec et le Labrador — a été rendue </w:t>
      </w:r>
      <w:r w:rsidRPr="00F52D1E">
        <w:rPr>
          <w:rFonts w:cs="Times New Roman"/>
          <w:i/>
          <w:lang w:val="fr-CA"/>
        </w:rPr>
        <w:t>per incuriam</w:t>
      </w:r>
      <w:r w:rsidRPr="00F52D1E">
        <w:rPr>
          <w:rFonts w:cs="Times New Roman"/>
          <w:lang w:val="fr-CA"/>
        </w:rPr>
        <w:t> : jugement de la C.S. autorisant l’intervention du PGTNL, par. 35.</w:t>
      </w:r>
    </w:p>
    <w:p w:rsidR="00CF3116" w:rsidRPr="00F52D1E" w:rsidRDefault="00CF3116" w:rsidP="00CF3116">
      <w:pPr>
        <w:pStyle w:val="ParaNoNdepar-AltN"/>
        <w:rPr>
          <w:rFonts w:cs="Times New Roman"/>
        </w:rPr>
      </w:pPr>
      <w:r w:rsidRPr="00F52D1E">
        <w:rPr>
          <w:rFonts w:cs="Times New Roman"/>
          <w:lang w:val="fr-CA"/>
        </w:rPr>
        <w:t xml:space="preserve">Nous soulignons en outre que les Innus sollicitent, d’une part, un jugement déclaratoire reconnaissant l’existence d’un titre ancestral et, d’autre part, leur droit sur les ressources naturelles de la centrale électrique des chutes Churchill et de bon nombre de ses réservoirs et lignes de transport connexes et celui d’en tirer profit : </w:t>
      </w:r>
      <w:proofErr w:type="gramStart"/>
      <w:r w:rsidRPr="00F52D1E">
        <w:rPr>
          <w:rFonts w:cs="Times New Roman"/>
          <w:lang w:val="fr-CA"/>
        </w:rPr>
        <w:t>d.a.,</w:t>
      </w:r>
      <w:proofErr w:type="gramEnd"/>
      <w:r w:rsidRPr="00F52D1E">
        <w:rPr>
          <w:rFonts w:cs="Times New Roman"/>
          <w:lang w:val="fr-CA"/>
        </w:rPr>
        <w:t xml:space="preserve"> vol. </w:t>
      </w:r>
      <w:r w:rsidRPr="00F52D1E">
        <w:rPr>
          <w:rFonts w:cs="Times New Roman"/>
        </w:rPr>
        <w:t>II, p. 188</w:t>
      </w:r>
      <w:r w:rsidRPr="00F52D1E">
        <w:rPr>
          <w:rFonts w:cs="Times New Roman"/>
        </w:rPr>
        <w:noBreakHyphen/>
        <w:t xml:space="preserve">189. </w:t>
      </w:r>
    </w:p>
    <w:p w:rsidR="00CF3116" w:rsidRPr="00F52D1E" w:rsidRDefault="00CF3116" w:rsidP="00CF3116">
      <w:pPr>
        <w:pStyle w:val="ParaNoNdepar-AltN"/>
        <w:rPr>
          <w:rFonts w:cs="Times New Roman"/>
          <w:lang w:val="fr-CA"/>
        </w:rPr>
      </w:pPr>
      <w:r w:rsidRPr="00F52D1E">
        <w:rPr>
          <w:rFonts w:cs="Times New Roman"/>
          <w:lang w:val="fr-CA"/>
        </w:rPr>
        <w:t>La frontière entre le Québec et le Labrador est devenue litigieuse à la fin du 19</w:t>
      </w:r>
      <w:r w:rsidRPr="00F52D1E">
        <w:rPr>
          <w:rFonts w:cs="Times New Roman"/>
          <w:vertAlign w:val="superscript"/>
          <w:lang w:val="fr-CA"/>
        </w:rPr>
        <w:t>e</w:t>
      </w:r>
      <w:r w:rsidRPr="00F52D1E">
        <w:rPr>
          <w:rFonts w:cs="Times New Roman"/>
          <w:lang w:val="fr-CA"/>
        </w:rPr>
        <w:t xml:space="preserve"> siècle. En 1927, le Conseil privé a tranché la question dans </w:t>
      </w:r>
      <w:r w:rsidRPr="00F52D1E">
        <w:rPr>
          <w:rFonts w:cs="Times New Roman"/>
          <w:i/>
          <w:lang w:val="fr-CA"/>
        </w:rPr>
        <w:t xml:space="preserve">re Labrador </w:t>
      </w:r>
      <w:r w:rsidRPr="00F52D1E">
        <w:rPr>
          <w:rFonts w:cs="Times New Roman"/>
          <w:i/>
          <w:lang w:val="fr-CA"/>
        </w:rPr>
        <w:lastRenderedPageBreak/>
        <w:t>Boundary</w:t>
      </w:r>
      <w:r w:rsidRPr="00F52D1E">
        <w:rPr>
          <w:rFonts w:cs="Times New Roman"/>
          <w:lang w:val="fr-CA"/>
        </w:rPr>
        <w:t>. Vingt ans plus tard, lorsque Terre</w:t>
      </w:r>
      <w:r w:rsidRPr="00F52D1E">
        <w:rPr>
          <w:rFonts w:cs="Times New Roman"/>
          <w:lang w:val="fr-CA"/>
        </w:rPr>
        <w:noBreakHyphen/>
        <w:t xml:space="preserve">Neuve et le Canada ont négocié pour la première fois une ébauche des conditions de l’union en prévision d’un référendum sur la confédération, l’art. 2 a précisément reconnu cette frontière : « Report of the Ottawa Delegation: Proposed Arrangements for the Entry of Newfoundland into Confederation », dans J. K. Hiller et M. F. Harrington, </w:t>
      </w:r>
      <w:proofErr w:type="gramStart"/>
      <w:r w:rsidRPr="00F52D1E">
        <w:rPr>
          <w:rFonts w:cs="Times New Roman"/>
          <w:lang w:val="fr-CA"/>
        </w:rPr>
        <w:t>dir.,</w:t>
      </w:r>
      <w:proofErr w:type="gramEnd"/>
      <w:r w:rsidRPr="00F52D1E">
        <w:rPr>
          <w:rFonts w:cs="Times New Roman"/>
          <w:lang w:val="fr-CA"/>
        </w:rPr>
        <w:t xml:space="preserve"> </w:t>
      </w:r>
      <w:r w:rsidRPr="00F52D1E">
        <w:rPr>
          <w:rFonts w:cs="Times New Roman"/>
          <w:i/>
          <w:lang w:val="fr-CA"/>
        </w:rPr>
        <w:t>The Newfoundland National Convention, 11946</w:t>
      </w:r>
      <w:r w:rsidRPr="00F52D1E">
        <w:rPr>
          <w:rFonts w:cs="Times New Roman"/>
          <w:i/>
          <w:lang w:val="fr-CA"/>
        </w:rPr>
        <w:noBreakHyphen/>
        <w:t>1948: Reports and Papers</w:t>
      </w:r>
      <w:r w:rsidRPr="00F52D1E">
        <w:rPr>
          <w:rFonts w:cs="Times New Roman"/>
          <w:lang w:val="fr-CA"/>
        </w:rPr>
        <w:t xml:space="preserve">, vol. 2 (1995), 510. Après l’étroite victoire du référendum, cette disposition a été incluse dans la </w:t>
      </w:r>
      <w:r w:rsidRPr="00F52D1E">
        <w:rPr>
          <w:rFonts w:cs="Times New Roman"/>
          <w:i/>
          <w:lang w:val="fr-CA"/>
        </w:rPr>
        <w:t>Loi sur Terre</w:t>
      </w:r>
      <w:r w:rsidRPr="00F52D1E">
        <w:rPr>
          <w:rFonts w:cs="Times New Roman"/>
          <w:i/>
          <w:lang w:val="fr-CA"/>
        </w:rPr>
        <w:noBreakHyphen/>
        <w:t>Neuve</w:t>
      </w:r>
      <w:r w:rsidRPr="00F52D1E">
        <w:rPr>
          <w:rFonts w:cs="Times New Roman"/>
          <w:lang w:val="fr-CA"/>
        </w:rPr>
        <w:t xml:space="preserve"> de 1949, </w:t>
      </w:r>
      <w:proofErr w:type="gramStart"/>
      <w:r w:rsidRPr="00F52D1E">
        <w:rPr>
          <w:rFonts w:cs="Times New Roman"/>
          <w:lang w:val="fr-CA"/>
        </w:rPr>
        <w:t>ann.,</w:t>
      </w:r>
      <w:proofErr w:type="gramEnd"/>
      <w:r w:rsidRPr="00F52D1E">
        <w:rPr>
          <w:rFonts w:cs="Times New Roman"/>
          <w:lang w:val="fr-CA"/>
        </w:rPr>
        <w:t xml:space="preserve"> art. 2, selon laquelle la frontière du Labrador serait « telle qu’elle a été délimitée dans la décision rendue par le Comité judiciaire du Conseil privé de Sa Majesté le premier jour de mars 1927 ». Cette disposition fait partie de notre Constitution : </w:t>
      </w:r>
      <w:r w:rsidRPr="00F52D1E">
        <w:rPr>
          <w:rFonts w:cs="Times New Roman"/>
          <w:i/>
          <w:lang w:val="fr-CA"/>
        </w:rPr>
        <w:t>Loi constitutionnelle de 1982</w:t>
      </w:r>
      <w:r w:rsidRPr="00F52D1E">
        <w:rPr>
          <w:rFonts w:cs="Times New Roman"/>
          <w:lang w:val="fr-CA"/>
        </w:rPr>
        <w:t xml:space="preserve">, </w:t>
      </w:r>
      <w:proofErr w:type="gramStart"/>
      <w:r w:rsidRPr="00F52D1E">
        <w:rPr>
          <w:rFonts w:cs="Times New Roman"/>
          <w:lang w:val="fr-CA"/>
        </w:rPr>
        <w:t>ann.,</w:t>
      </w:r>
      <w:proofErr w:type="gramEnd"/>
      <w:r w:rsidRPr="00F52D1E">
        <w:rPr>
          <w:rFonts w:cs="Times New Roman"/>
          <w:lang w:val="fr-CA"/>
        </w:rPr>
        <w:t> art. 21. La poursuite de la reconnaissance de la frontière était un élément essentiel de l’entente sur la Confédération conclue par Terre</w:t>
      </w:r>
      <w:r w:rsidRPr="00F52D1E">
        <w:rPr>
          <w:rFonts w:cs="Times New Roman"/>
          <w:lang w:val="fr-CA"/>
        </w:rPr>
        <w:noBreakHyphen/>
        <w:t>Neuve.</w:t>
      </w:r>
    </w:p>
    <w:p w:rsidR="00CF3116" w:rsidRPr="00F52D1E" w:rsidRDefault="00CF3116" w:rsidP="00CF3116">
      <w:pPr>
        <w:pStyle w:val="ParaNoNdepar-AltN"/>
        <w:rPr>
          <w:rFonts w:cs="Times New Roman"/>
          <w:lang w:val="fr-CA"/>
        </w:rPr>
      </w:pPr>
      <w:r w:rsidRPr="00F52D1E">
        <w:rPr>
          <w:rFonts w:cs="Times New Roman"/>
          <w:lang w:val="fr-CA"/>
        </w:rPr>
        <w:t xml:space="preserve">La </w:t>
      </w:r>
      <w:r w:rsidRPr="00F52D1E">
        <w:rPr>
          <w:rFonts w:cs="Times New Roman"/>
          <w:i/>
          <w:lang w:val="fr-CA"/>
        </w:rPr>
        <w:t>Loi constitutionnelle de 1982</w:t>
      </w:r>
      <w:r w:rsidRPr="00F52D1E">
        <w:rPr>
          <w:rFonts w:cs="Times New Roman"/>
          <w:lang w:val="fr-CA"/>
        </w:rPr>
        <w:t xml:space="preserve"> </w:t>
      </w:r>
      <w:proofErr w:type="gramStart"/>
      <w:r w:rsidRPr="00F52D1E">
        <w:rPr>
          <w:rFonts w:cs="Times New Roman"/>
          <w:lang w:val="fr-CA"/>
        </w:rPr>
        <w:t>reconnaît</w:t>
      </w:r>
      <w:proofErr w:type="gramEnd"/>
      <w:r w:rsidRPr="00F52D1E">
        <w:rPr>
          <w:rFonts w:cs="Times New Roman"/>
          <w:lang w:val="fr-CA"/>
        </w:rPr>
        <w:t xml:space="preserve"> que la </w:t>
      </w:r>
      <w:r w:rsidRPr="00F52D1E">
        <w:rPr>
          <w:rFonts w:cs="Times New Roman"/>
          <w:i/>
          <w:lang w:val="fr-CA"/>
        </w:rPr>
        <w:t>Loi sur Terre</w:t>
      </w:r>
      <w:r w:rsidRPr="00F52D1E">
        <w:rPr>
          <w:rFonts w:cs="Times New Roman"/>
          <w:i/>
          <w:lang w:val="fr-CA"/>
        </w:rPr>
        <w:noBreakHyphen/>
        <w:t>Neuve</w:t>
      </w:r>
      <w:r w:rsidRPr="00F52D1E">
        <w:rPr>
          <w:rFonts w:cs="Times New Roman"/>
          <w:lang w:val="fr-CA"/>
        </w:rPr>
        <w:t>, y compris la frontière établie en 1927, fait partie de la Constitution : al. 52(2)</w:t>
      </w:r>
      <w:r w:rsidRPr="00F52D1E">
        <w:rPr>
          <w:rFonts w:cs="Times New Roman"/>
          <w:i/>
          <w:lang w:val="fr-CA"/>
        </w:rPr>
        <w:t>b</w:t>
      </w:r>
      <w:r w:rsidRPr="00F52D1E">
        <w:rPr>
          <w:rFonts w:cs="Times New Roman"/>
          <w:lang w:val="fr-CA"/>
        </w:rPr>
        <w:t xml:space="preserve">), </w:t>
      </w:r>
      <w:proofErr w:type="gramStart"/>
      <w:r w:rsidRPr="00F52D1E">
        <w:rPr>
          <w:rFonts w:cs="Times New Roman"/>
          <w:lang w:val="fr-CA"/>
        </w:rPr>
        <w:t>ann.,</w:t>
      </w:r>
      <w:proofErr w:type="gramEnd"/>
      <w:r w:rsidRPr="00F52D1E">
        <w:rPr>
          <w:rFonts w:cs="Times New Roman"/>
          <w:lang w:val="fr-CA"/>
        </w:rPr>
        <w:t xml:space="preserve"> art. 21. Elle précise aussi que les « changements du tracé des frontières interprovinciales » doivent recevoir l’aval de « l’Assemblée législative de chaque province concernée » : al. 43</w:t>
      </w:r>
      <w:r w:rsidRPr="00F52D1E">
        <w:rPr>
          <w:rFonts w:cs="Times New Roman"/>
          <w:i/>
          <w:lang w:val="fr-CA"/>
        </w:rPr>
        <w:t>a</w:t>
      </w:r>
      <w:r w:rsidRPr="00F52D1E">
        <w:rPr>
          <w:rFonts w:cs="Times New Roman"/>
          <w:lang w:val="fr-CA"/>
        </w:rPr>
        <w:t>). Par ailleurs, les changements à cette procédure de modification requerraient le consentement unanime des provinces, de la Chambre des communes et du Sénat : al. 41</w:t>
      </w:r>
      <w:r w:rsidRPr="00F52D1E">
        <w:rPr>
          <w:rFonts w:cs="Times New Roman"/>
          <w:i/>
          <w:lang w:val="fr-CA"/>
        </w:rPr>
        <w:t>e</w:t>
      </w:r>
      <w:r w:rsidRPr="00F52D1E">
        <w:rPr>
          <w:rFonts w:cs="Times New Roman"/>
          <w:lang w:val="fr-CA"/>
        </w:rPr>
        <w:t>). Le PGC ne semble pas avoir pris conscience des répercussions qu’entraînerait le fait que les cours du Québec soient saisies d’une contestation de la frontière du Labrador elle</w:t>
      </w:r>
      <w:r w:rsidRPr="00F52D1E">
        <w:rPr>
          <w:rFonts w:cs="Times New Roman"/>
          <w:lang w:val="fr-CA"/>
        </w:rPr>
        <w:noBreakHyphen/>
        <w:t>même.</w:t>
      </w:r>
    </w:p>
    <w:p w:rsidR="00CF3116" w:rsidRPr="00F52D1E" w:rsidRDefault="00CF3116" w:rsidP="00CF3116">
      <w:pPr>
        <w:pStyle w:val="ParaNoNdepar-AltN"/>
        <w:rPr>
          <w:rFonts w:cs="Times New Roman"/>
          <w:lang w:val="fr-CA"/>
        </w:rPr>
      </w:pPr>
      <w:r w:rsidRPr="00F52D1E">
        <w:rPr>
          <w:rFonts w:cs="Times New Roman"/>
          <w:lang w:val="fr-CA"/>
        </w:rPr>
        <w:lastRenderedPageBreak/>
        <w:t>La position du PGC selon laquelle des revendications de ce type sont envisageables pourrait aussi avoir des répercussions sur des contestations futures d’autres frontières provinciales.</w:t>
      </w:r>
    </w:p>
    <w:p w:rsidR="00CF3116" w:rsidRPr="00F52D1E" w:rsidRDefault="00CF3116" w:rsidP="00CF3116">
      <w:pPr>
        <w:pStyle w:val="ParaNoNdepar-AltN"/>
        <w:rPr>
          <w:rFonts w:cs="Times New Roman"/>
          <w:lang w:val="fr-CA"/>
        </w:rPr>
      </w:pPr>
      <w:r w:rsidRPr="00F52D1E">
        <w:rPr>
          <w:rFonts w:cs="Times New Roman"/>
          <w:lang w:val="fr-CA"/>
        </w:rPr>
        <w:t xml:space="preserve">La majorité du territoire canadien actuel a été transféré au Canada par deux décrets en conseil impériaux : le </w:t>
      </w:r>
      <w:r w:rsidRPr="00F52D1E">
        <w:rPr>
          <w:rFonts w:cs="Times New Roman"/>
          <w:i/>
          <w:lang w:val="fr-CA"/>
        </w:rPr>
        <w:t>Décret en conseil sur la Terre de Rupert et le Territoire du Nord</w:t>
      </w:r>
      <w:r w:rsidRPr="00F52D1E">
        <w:rPr>
          <w:rFonts w:cs="Times New Roman"/>
          <w:i/>
          <w:lang w:val="fr-CA"/>
        </w:rPr>
        <w:noBreakHyphen/>
        <w:t>Ouest</w:t>
      </w:r>
      <w:r w:rsidRPr="00F52D1E">
        <w:rPr>
          <w:rFonts w:cs="Times New Roman"/>
          <w:lang w:val="fr-CA"/>
        </w:rPr>
        <w:t xml:space="preserve"> dans L.R.C. 1985, ann. II, n</w:t>
      </w:r>
      <w:r w:rsidRPr="00F52D1E">
        <w:rPr>
          <w:rFonts w:cs="Times New Roman"/>
          <w:vertAlign w:val="superscript"/>
          <w:lang w:val="fr-CA"/>
        </w:rPr>
        <w:t>o</w:t>
      </w:r>
      <w:r w:rsidRPr="00F52D1E">
        <w:rPr>
          <w:rFonts w:cs="Times New Roman"/>
          <w:lang w:val="fr-CA"/>
        </w:rPr>
        <w:t xml:space="preserve"> 9, qui a transféré les terres de la Compagnie de la Baie d’Hudson, et le </w:t>
      </w:r>
      <w:r w:rsidRPr="00F52D1E">
        <w:rPr>
          <w:rFonts w:cs="Times New Roman"/>
          <w:i/>
          <w:lang w:val="fr-CA"/>
        </w:rPr>
        <w:t>Décret en conseil sur les territoires adjacents</w:t>
      </w:r>
      <w:r w:rsidRPr="00F52D1E">
        <w:rPr>
          <w:rFonts w:cs="Times New Roman"/>
          <w:lang w:val="fr-CA"/>
        </w:rPr>
        <w:t xml:space="preserve"> dans L.R.C. 1985, ann. II, n</w:t>
      </w:r>
      <w:r w:rsidRPr="00F52D1E">
        <w:rPr>
          <w:rFonts w:cs="Times New Roman"/>
          <w:vertAlign w:val="superscript"/>
          <w:lang w:val="fr-CA"/>
        </w:rPr>
        <w:t>o</w:t>
      </w:r>
      <w:r w:rsidRPr="00F52D1E">
        <w:rPr>
          <w:rFonts w:cs="Times New Roman"/>
          <w:lang w:val="fr-CA"/>
        </w:rPr>
        <w:t> 14, qui a transféré l’archipel Arctique. Combinés, ces décrets ont transféré tout le territoire aujourd’hui occupé par l’Alberta, la Saskatchewan, le Yukon, les Territoires</w:t>
      </w:r>
      <w:r w:rsidRPr="00F52D1E">
        <w:rPr>
          <w:rFonts w:cs="Times New Roman"/>
          <w:lang w:val="fr-CA"/>
        </w:rPr>
        <w:noBreakHyphen/>
        <w:t>du</w:t>
      </w:r>
      <w:r w:rsidRPr="00F52D1E">
        <w:rPr>
          <w:rFonts w:cs="Times New Roman"/>
          <w:lang w:val="fr-CA"/>
        </w:rPr>
        <w:noBreakHyphen/>
        <w:t>Nord</w:t>
      </w:r>
      <w:r w:rsidRPr="00F52D1E">
        <w:rPr>
          <w:rFonts w:cs="Times New Roman"/>
          <w:lang w:val="fr-CA"/>
        </w:rPr>
        <w:noBreakHyphen/>
        <w:t>Ouest et le Nunavut, en plus de la plupart du Manitoba, de l’Ontario et du Québec modernes.</w:t>
      </w:r>
    </w:p>
    <w:p w:rsidR="00CF3116" w:rsidRPr="00F52D1E" w:rsidRDefault="00CF3116" w:rsidP="00CF3116">
      <w:pPr>
        <w:pStyle w:val="ParaNoNdepar-AltN"/>
        <w:rPr>
          <w:rFonts w:cs="Times New Roman"/>
          <w:lang w:val="fr-CA"/>
        </w:rPr>
      </w:pPr>
      <w:r w:rsidRPr="00F52D1E">
        <w:rPr>
          <w:rFonts w:cs="Times New Roman"/>
          <w:lang w:val="fr-CA"/>
        </w:rPr>
        <w:t xml:space="preserve">Lorsque les provinces de l’Alberta et de la Saskatchewan ont été créées à même ce territoire transféré, leurs frontières ont été fixées par </w:t>
      </w:r>
      <w:r w:rsidR="00B61E8C" w:rsidRPr="00B61E8C">
        <w:rPr>
          <w:rFonts w:cs="Times New Roman"/>
          <w:lang w:val="fr-CA"/>
        </w:rPr>
        <w:t>la</w:t>
      </w:r>
      <w:r w:rsidRPr="00F52D1E">
        <w:rPr>
          <w:rFonts w:cs="Times New Roman"/>
          <w:i/>
          <w:lang w:val="fr-CA"/>
        </w:rPr>
        <w:t xml:space="preserve"> </w:t>
      </w:r>
      <w:r w:rsidR="00AB425C">
        <w:rPr>
          <w:rFonts w:cs="Times New Roman"/>
          <w:i/>
          <w:lang w:val="fr-CA"/>
        </w:rPr>
        <w:t>Loi sur l’</w:t>
      </w:r>
      <w:r w:rsidRPr="00F52D1E">
        <w:rPr>
          <w:rFonts w:cs="Times New Roman"/>
          <w:i/>
          <w:lang w:val="fr-CA"/>
        </w:rPr>
        <w:t>Alberta</w:t>
      </w:r>
      <w:r w:rsidRPr="00F52D1E">
        <w:rPr>
          <w:rFonts w:cs="Times New Roman"/>
          <w:lang w:val="fr-CA"/>
        </w:rPr>
        <w:t xml:space="preserve">, </w:t>
      </w:r>
      <w:r w:rsidR="00B61E8C">
        <w:rPr>
          <w:rFonts w:cs="Times New Roman"/>
          <w:lang w:val="fr-CA"/>
        </w:rPr>
        <w:t xml:space="preserve">S.C. </w:t>
      </w:r>
      <w:r w:rsidRPr="00F52D1E">
        <w:rPr>
          <w:rFonts w:cs="Times New Roman"/>
          <w:lang w:val="fr-CA"/>
        </w:rPr>
        <w:t>1905, c. 3 (</w:t>
      </w:r>
      <w:r w:rsidR="00B61E8C">
        <w:rPr>
          <w:rFonts w:cs="Times New Roman"/>
          <w:lang w:val="fr-CA"/>
        </w:rPr>
        <w:t>reproduite dans L.R.C. 1985, app</w:t>
      </w:r>
      <w:r w:rsidRPr="00F52D1E">
        <w:rPr>
          <w:rFonts w:cs="Times New Roman"/>
          <w:lang w:val="fr-CA"/>
        </w:rPr>
        <w:t>. II, n</w:t>
      </w:r>
      <w:r w:rsidRPr="00F52D1E">
        <w:rPr>
          <w:rFonts w:cs="Times New Roman"/>
          <w:vertAlign w:val="superscript"/>
          <w:lang w:val="fr-CA"/>
        </w:rPr>
        <w:t>o</w:t>
      </w:r>
      <w:r w:rsidRPr="00F52D1E">
        <w:rPr>
          <w:rFonts w:cs="Times New Roman"/>
          <w:lang w:val="fr-CA"/>
        </w:rPr>
        <w:t> 20)</w:t>
      </w:r>
      <w:r w:rsidR="007F5847">
        <w:rPr>
          <w:rFonts w:cs="Times New Roman"/>
          <w:lang w:val="fr-CA"/>
        </w:rPr>
        <w:t>,</w:t>
      </w:r>
      <w:r w:rsidRPr="00F52D1E">
        <w:rPr>
          <w:rFonts w:cs="Times New Roman"/>
          <w:lang w:val="fr-CA"/>
        </w:rPr>
        <w:t xml:space="preserve"> et par </w:t>
      </w:r>
      <w:r w:rsidR="00B61E8C" w:rsidRPr="00B61E8C">
        <w:rPr>
          <w:rFonts w:cs="Times New Roman"/>
          <w:lang w:val="fr-CA"/>
        </w:rPr>
        <w:t>la</w:t>
      </w:r>
      <w:r w:rsidR="00B61E8C">
        <w:rPr>
          <w:rFonts w:cs="Times New Roman"/>
          <w:i/>
          <w:lang w:val="fr-CA"/>
        </w:rPr>
        <w:t xml:space="preserve"> </w:t>
      </w:r>
      <w:r w:rsidR="0036036D">
        <w:rPr>
          <w:rFonts w:cs="Times New Roman"/>
          <w:i/>
          <w:lang w:val="fr-CA"/>
        </w:rPr>
        <w:t xml:space="preserve">Loi sur la </w:t>
      </w:r>
      <w:r w:rsidRPr="00F52D1E">
        <w:rPr>
          <w:rFonts w:cs="Times New Roman"/>
          <w:i/>
          <w:lang w:val="fr-CA"/>
        </w:rPr>
        <w:t>Saskatchewan</w:t>
      </w:r>
      <w:r w:rsidRPr="00F52D1E">
        <w:rPr>
          <w:rFonts w:cs="Times New Roman"/>
          <w:lang w:val="fr-CA"/>
        </w:rPr>
        <w:t xml:space="preserve">, </w:t>
      </w:r>
      <w:r w:rsidR="00AB425C">
        <w:rPr>
          <w:rFonts w:cs="Times New Roman"/>
          <w:lang w:val="fr-CA"/>
        </w:rPr>
        <w:t xml:space="preserve">S.C. </w:t>
      </w:r>
      <w:r w:rsidRPr="00F52D1E">
        <w:rPr>
          <w:rFonts w:cs="Times New Roman"/>
          <w:lang w:val="fr-CA"/>
        </w:rPr>
        <w:t>1905, c. 42 (</w:t>
      </w:r>
      <w:r w:rsidR="00B61E8C">
        <w:rPr>
          <w:rFonts w:cs="Times New Roman"/>
          <w:lang w:val="fr-CA"/>
        </w:rPr>
        <w:t>reproduite dans L.R.C. 1985, app</w:t>
      </w:r>
      <w:r w:rsidRPr="00F52D1E">
        <w:rPr>
          <w:rFonts w:cs="Times New Roman"/>
          <w:lang w:val="fr-CA"/>
        </w:rPr>
        <w:t>. II, n</w:t>
      </w:r>
      <w:r w:rsidRPr="00F52D1E">
        <w:rPr>
          <w:rFonts w:cs="Times New Roman"/>
          <w:vertAlign w:val="superscript"/>
          <w:lang w:val="fr-CA"/>
        </w:rPr>
        <w:t>o</w:t>
      </w:r>
      <w:r w:rsidRPr="00F52D1E">
        <w:rPr>
          <w:rFonts w:cs="Times New Roman"/>
          <w:lang w:val="fr-CA"/>
        </w:rPr>
        <w:t> 21),</w:t>
      </w:r>
      <w:r w:rsidRPr="00F52D1E">
        <w:rPr>
          <w:rFonts w:cs="Times New Roman"/>
          <w:i/>
          <w:lang w:val="fr-CA"/>
        </w:rPr>
        <w:t xml:space="preserve"> </w:t>
      </w:r>
      <w:r w:rsidRPr="00F52D1E">
        <w:rPr>
          <w:rFonts w:cs="Times New Roman"/>
          <w:lang w:val="fr-CA"/>
        </w:rPr>
        <w:t xml:space="preserve">des textes législatifs également intégrés à la Constitution du Canada : </w:t>
      </w:r>
      <w:r w:rsidRPr="00F52D1E">
        <w:rPr>
          <w:rFonts w:cs="Times New Roman"/>
          <w:i/>
          <w:lang w:val="fr-CA"/>
        </w:rPr>
        <w:t>Loi constitutionnelle de 1982</w:t>
      </w:r>
      <w:r w:rsidRPr="00F52D1E">
        <w:rPr>
          <w:rFonts w:cs="Times New Roman"/>
          <w:lang w:val="fr-CA"/>
        </w:rPr>
        <w:t>, al. 52(2)</w:t>
      </w:r>
      <w:r w:rsidRPr="00F52D1E">
        <w:rPr>
          <w:rFonts w:cs="Times New Roman"/>
          <w:i/>
          <w:lang w:val="fr-CA"/>
        </w:rPr>
        <w:t>b</w:t>
      </w:r>
      <w:r w:rsidR="007F5847">
        <w:rPr>
          <w:rFonts w:cs="Times New Roman"/>
          <w:lang w:val="fr-CA"/>
        </w:rPr>
        <w:t>);</w:t>
      </w:r>
      <w:r w:rsidRPr="00F52D1E">
        <w:rPr>
          <w:rFonts w:cs="Times New Roman"/>
          <w:lang w:val="fr-CA"/>
        </w:rPr>
        <w:t xml:space="preserve"> </w:t>
      </w:r>
      <w:proofErr w:type="gramStart"/>
      <w:r w:rsidRPr="00F52D1E">
        <w:rPr>
          <w:rFonts w:cs="Times New Roman"/>
          <w:lang w:val="fr-CA"/>
        </w:rPr>
        <w:t>ann.,</w:t>
      </w:r>
      <w:proofErr w:type="gramEnd"/>
      <w:r w:rsidRPr="00F52D1E">
        <w:rPr>
          <w:rFonts w:cs="Times New Roman"/>
          <w:lang w:val="fr-CA"/>
        </w:rPr>
        <w:t xml:space="preserve"> art. 12 et 13. En outre, les frontières du Québec, du Manitoba et de l’Ontario ont été repoussées par des lois du fédéral en application de l’</w:t>
      </w:r>
      <w:r w:rsidRPr="00F52D1E">
        <w:rPr>
          <w:rFonts w:cs="Times New Roman"/>
          <w:i/>
          <w:lang w:val="fr-CA"/>
        </w:rPr>
        <w:t>Acte de l’Amérique du Nord britannique, 1871</w:t>
      </w:r>
      <w:r w:rsidRPr="00F52D1E">
        <w:rPr>
          <w:rFonts w:cs="Times New Roman"/>
          <w:lang w:val="fr-CA"/>
        </w:rPr>
        <w:t xml:space="preserve"> (R.</w:t>
      </w:r>
      <w:r w:rsidRPr="00F52D1E">
        <w:rPr>
          <w:rFonts w:cs="Times New Roman"/>
          <w:lang w:val="fr-CA"/>
        </w:rPr>
        <w:noBreakHyphen/>
        <w:t xml:space="preserve">U.), 34 &amp; 35 Vict., c. 28 (imprimée de nouveau sous le titre </w:t>
      </w:r>
      <w:r w:rsidRPr="00F52D1E">
        <w:rPr>
          <w:rFonts w:cs="Times New Roman"/>
          <w:i/>
          <w:lang w:val="fr-CA"/>
        </w:rPr>
        <w:t>Loi constitutionnelle de 1871</w:t>
      </w:r>
      <w:r w:rsidRPr="00F52D1E">
        <w:rPr>
          <w:rFonts w:cs="Times New Roman"/>
          <w:lang w:val="fr-CA"/>
        </w:rPr>
        <w:t xml:space="preserve"> dans L.R.C. 1985, ann. II, n</w:t>
      </w:r>
      <w:r w:rsidRPr="00F52D1E">
        <w:rPr>
          <w:rFonts w:cs="Times New Roman"/>
          <w:vertAlign w:val="superscript"/>
          <w:lang w:val="fr-CA"/>
        </w:rPr>
        <w:t>o</w:t>
      </w:r>
      <w:r w:rsidRPr="00F52D1E">
        <w:rPr>
          <w:rFonts w:cs="Times New Roman"/>
          <w:lang w:val="fr-CA"/>
        </w:rPr>
        <w:t xml:space="preserve"> 11), notamment la </w:t>
      </w:r>
      <w:r w:rsidRPr="00F52D1E">
        <w:rPr>
          <w:rFonts w:cs="Times New Roman"/>
          <w:i/>
          <w:lang w:val="fr-CA"/>
        </w:rPr>
        <w:t>Loi de l’extension des frontières de Québec, 1912</w:t>
      </w:r>
      <w:r w:rsidRPr="00F52D1E">
        <w:rPr>
          <w:rFonts w:cs="Times New Roman"/>
          <w:lang w:val="fr-CA"/>
        </w:rPr>
        <w:t xml:space="preserve">, </w:t>
      </w:r>
      <w:r w:rsidR="00B61E8C">
        <w:rPr>
          <w:rFonts w:cs="Times New Roman"/>
          <w:lang w:val="fr-CA"/>
        </w:rPr>
        <w:t xml:space="preserve">S.C. 1912, </w:t>
      </w:r>
      <w:r w:rsidRPr="00F52D1E">
        <w:rPr>
          <w:rFonts w:cs="Times New Roman"/>
          <w:lang w:val="fr-CA"/>
        </w:rPr>
        <w:t xml:space="preserve">c. 45; la </w:t>
      </w:r>
      <w:r w:rsidR="00B61E8C" w:rsidRPr="00B61E8C">
        <w:rPr>
          <w:rFonts w:cs="Times New Roman"/>
          <w:i/>
          <w:lang w:val="fr-CA"/>
        </w:rPr>
        <w:t>Loi de l’extension des frontière</w:t>
      </w:r>
      <w:r w:rsidR="0036036D">
        <w:rPr>
          <w:rFonts w:cs="Times New Roman"/>
          <w:i/>
          <w:lang w:val="fr-CA"/>
        </w:rPr>
        <w:t>s</w:t>
      </w:r>
      <w:r w:rsidR="00B61E8C" w:rsidRPr="00B61E8C">
        <w:rPr>
          <w:rFonts w:cs="Times New Roman"/>
          <w:i/>
          <w:lang w:val="fr-CA"/>
        </w:rPr>
        <w:t xml:space="preserve"> du</w:t>
      </w:r>
      <w:r w:rsidR="00B61E8C">
        <w:rPr>
          <w:rFonts w:cs="Times New Roman"/>
          <w:lang w:val="fr-CA"/>
        </w:rPr>
        <w:t xml:space="preserve"> </w:t>
      </w:r>
      <w:r w:rsidRPr="00F52D1E">
        <w:rPr>
          <w:rFonts w:cs="Times New Roman"/>
          <w:i/>
          <w:lang w:val="fr-CA"/>
        </w:rPr>
        <w:t>Manitoba, 1912</w:t>
      </w:r>
      <w:r w:rsidRPr="00F52D1E">
        <w:rPr>
          <w:rFonts w:cs="Times New Roman"/>
          <w:lang w:val="fr-CA"/>
        </w:rPr>
        <w:t xml:space="preserve">, </w:t>
      </w:r>
      <w:r w:rsidR="0036036D">
        <w:rPr>
          <w:rFonts w:cs="Times New Roman"/>
          <w:lang w:val="fr-CA"/>
        </w:rPr>
        <w:t xml:space="preserve">S.C. 1912, </w:t>
      </w:r>
      <w:r w:rsidRPr="00F52D1E">
        <w:rPr>
          <w:rFonts w:cs="Times New Roman"/>
          <w:lang w:val="fr-CA"/>
        </w:rPr>
        <w:t xml:space="preserve">c. 32; et la </w:t>
      </w:r>
      <w:r w:rsidRPr="00F52D1E">
        <w:rPr>
          <w:rFonts w:cs="Times New Roman"/>
          <w:i/>
          <w:lang w:val="fr-CA"/>
        </w:rPr>
        <w:t>Loi de l’extension des frontières de l’Ontario</w:t>
      </w:r>
      <w:r w:rsidRPr="00F52D1E">
        <w:rPr>
          <w:rFonts w:cs="Times New Roman"/>
          <w:lang w:val="fr-CA"/>
        </w:rPr>
        <w:t xml:space="preserve">, </w:t>
      </w:r>
      <w:r w:rsidR="00B61E8C">
        <w:rPr>
          <w:rFonts w:cs="Times New Roman"/>
          <w:lang w:val="fr-CA"/>
        </w:rPr>
        <w:t xml:space="preserve">S.C. </w:t>
      </w:r>
      <w:r w:rsidRPr="00F52D1E">
        <w:rPr>
          <w:rFonts w:cs="Times New Roman"/>
          <w:lang w:val="fr-CA"/>
        </w:rPr>
        <w:t xml:space="preserve">1912, c. 40. (Bien que ces dernières lois </w:t>
      </w:r>
      <w:r w:rsidRPr="00F52D1E">
        <w:rPr>
          <w:rFonts w:cs="Times New Roman"/>
          <w:lang w:val="fr-CA"/>
        </w:rPr>
        <w:lastRenderedPageBreak/>
        <w:t>n’aient pas force constitutionnelle et ne soient pas à l’abri d’une contestation constitutionnelle, elles ne peuvent être modifiées sans le conse</w:t>
      </w:r>
      <w:r w:rsidR="007F5847">
        <w:rPr>
          <w:rFonts w:cs="Times New Roman"/>
          <w:lang w:val="fr-CA"/>
        </w:rPr>
        <w:t>ntement de la province touchée.)</w:t>
      </w:r>
      <w:r w:rsidRPr="00F52D1E">
        <w:rPr>
          <w:rFonts w:cs="Times New Roman"/>
          <w:lang w:val="fr-CA"/>
        </w:rPr>
        <w:t xml:space="preserve"> La stabilité de tous ces arrangements, qu’ils soient constitutionnels ou simplement législatifs, est maintenant plongée dans l’incertitude par les conséquences inévitables des motifs de nos collègues. </w:t>
      </w:r>
    </w:p>
    <w:p w:rsidR="00CF3116" w:rsidRPr="00F52D1E" w:rsidRDefault="00CF3116" w:rsidP="00CF3116">
      <w:pPr>
        <w:pStyle w:val="Title3LevelTitre3Niveau"/>
        <w:tabs>
          <w:tab w:val="clear" w:pos="1152"/>
        </w:tabs>
        <w:ind w:left="1530"/>
        <w:jc w:val="both"/>
        <w:rPr>
          <w:rFonts w:cs="Times New Roman"/>
          <w:lang w:val="fr-CA"/>
        </w:rPr>
      </w:pPr>
      <w:bookmarkStart w:id="133" w:name="_Toc29195625"/>
      <w:bookmarkStart w:id="134" w:name="_Toc33007310"/>
      <w:r w:rsidRPr="00F52D1E">
        <w:rPr>
          <w:rFonts w:cs="Times New Roman"/>
          <w:lang w:val="fr-CA"/>
        </w:rPr>
        <w:t>L’approche du PGC, source d’une forte</w:t>
      </w:r>
      <w:bookmarkEnd w:id="133"/>
      <w:r w:rsidRPr="00F52D1E">
        <w:rPr>
          <w:rFonts w:cs="Times New Roman"/>
          <w:lang w:val="fr-CA"/>
        </w:rPr>
        <w:t xml:space="preserve"> possibilité de jugements contradictoires et de confusion</w:t>
      </w:r>
      <w:bookmarkEnd w:id="134"/>
    </w:p>
    <w:p w:rsidR="00CF3116" w:rsidRPr="00F52D1E" w:rsidRDefault="00CF3116" w:rsidP="00CF3116">
      <w:pPr>
        <w:pStyle w:val="ParaNoNdepar-AltN"/>
        <w:rPr>
          <w:rFonts w:cs="Times New Roman"/>
          <w:lang w:val="fr-CA"/>
        </w:rPr>
      </w:pPr>
      <w:r w:rsidRPr="00F52D1E">
        <w:rPr>
          <w:rFonts w:cs="Times New Roman"/>
          <w:lang w:val="fr-CA"/>
        </w:rPr>
        <w:t xml:space="preserve">L’approche préconisée par le PGC, si elle devait être adoptée, autoriserait la Cour supérieure d’une province à se prononcer, accessoirement à une </w:t>
      </w:r>
      <w:r w:rsidRPr="00F52D1E">
        <w:rPr>
          <w:rFonts w:cs="Times New Roman"/>
          <w:i/>
          <w:lang w:val="fr-CA"/>
        </w:rPr>
        <w:t>demande in personam</w:t>
      </w:r>
      <w:r w:rsidRPr="00F52D1E">
        <w:rPr>
          <w:rFonts w:cs="Times New Roman"/>
          <w:lang w:val="fr-CA"/>
        </w:rPr>
        <w:t>, sur l’existence d’un titre ancestral sur un territoire situé dans une province autre que celle où elle se trouve. Une telle conséquence serait profondément pernicieuse pour le règlement ordonné et rapide des demandes fondées sur l’art. 35, car elle créerait une forte possibilité que l’on se retrouve avec des jugements contradictoires et des litiges à répétition.</w:t>
      </w:r>
    </w:p>
    <w:p w:rsidR="00CF3116" w:rsidRPr="00F52D1E" w:rsidRDefault="00CF3116" w:rsidP="00CF3116">
      <w:pPr>
        <w:pStyle w:val="ParaNoNdepar-AltN"/>
        <w:rPr>
          <w:rFonts w:cs="Times New Roman"/>
          <w:lang w:val="fr-CA"/>
        </w:rPr>
      </w:pPr>
      <w:r w:rsidRPr="00F52D1E">
        <w:rPr>
          <w:rFonts w:cs="Times New Roman"/>
          <w:lang w:val="fr-CA"/>
        </w:rPr>
        <w:t>Comme nous l’avons expliqué, un tel jugement déclaratoire serait invalide et ne lierait pas la Couronne de la province concernée. Cela ne serait toutefois probablement pas évident pour toute personne qui ne détient pas une formation juridique spécialisée. Cela sèmerait la confusion pour toutes les personnes concernées et nuirait à l’efficacité des décisions des tribunaux. En particulier, du point de vue des membres de la communauté autochtone parties prenantes du litige, un jugement déclaratoire qui semblerait leur reconnaître un titre, mais qui ne le leur reconnaîtrait pas dans les faits, serait particulièrement préjudiciable, et saperait, à juste titre, leur confiance envers les tribunaux</w:t>
      </w:r>
      <w:r w:rsidRPr="00F52D1E">
        <w:rPr>
          <w:rFonts w:cs="Times New Roman"/>
          <w:lang w:val="fr-CA" w:bidi="en-US"/>
        </w:rPr>
        <w:t>.</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Même si un tel jugement déclaratoire était valide, l’approche proposée par le PGC créerait un risque que les droits ancestraux soient reconnus à la pièce et soient opposables à certaines parties, mais pas à d’autres. S’il fallait reconnaître un titre ancestral uniquement aux fins d’un litige </w:t>
      </w:r>
      <w:r w:rsidRPr="00F52D1E">
        <w:rPr>
          <w:rFonts w:cs="Times New Roman"/>
          <w:i/>
          <w:lang w:val="fr-CA"/>
        </w:rPr>
        <w:t>in personam</w:t>
      </w:r>
      <w:r w:rsidRPr="00F52D1E">
        <w:rPr>
          <w:rFonts w:cs="Times New Roman"/>
          <w:lang w:val="fr-CA"/>
        </w:rPr>
        <w:t xml:space="preserve">, seuls les défendeurs nommés dans la procédure seraient liés par ce jugement déclaratoire. L’effet de quelque déclaration que ce soit relative à un territoire situé au Labrador serait circonscrit par la doctrine de la chose jugée. Or, cette doctrine ne s’applique qu’entre les parties au litige antérieur ou à leurs ayants droit : </w:t>
      </w:r>
      <w:r w:rsidRPr="00F52D1E">
        <w:rPr>
          <w:rFonts w:cs="Times New Roman"/>
          <w:lang w:val="fr-CA" w:bidi="en-US"/>
        </w:rPr>
        <w:t xml:space="preserve">D. J. Lange, </w:t>
      </w:r>
      <w:r w:rsidRPr="00F52D1E">
        <w:rPr>
          <w:rFonts w:cs="Times New Roman"/>
          <w:i/>
          <w:lang w:val="fr-CA" w:bidi="en-US"/>
        </w:rPr>
        <w:t>The Doctrine of Res Judicata in Canada</w:t>
      </w:r>
      <w:r w:rsidRPr="00F52D1E">
        <w:rPr>
          <w:rFonts w:cs="Times New Roman"/>
          <w:lang w:val="fr-CA" w:bidi="en-US"/>
        </w:rPr>
        <w:t xml:space="preserve"> (4</w:t>
      </w:r>
      <w:r w:rsidRPr="00F52D1E">
        <w:rPr>
          <w:rFonts w:cs="Times New Roman"/>
          <w:vertAlign w:val="superscript"/>
          <w:lang w:val="fr-CA" w:bidi="en-US"/>
        </w:rPr>
        <w:t>e</w:t>
      </w:r>
      <w:r w:rsidRPr="00F52D1E">
        <w:rPr>
          <w:rFonts w:cs="Times New Roman"/>
          <w:lang w:val="fr-CA" w:bidi="en-US"/>
        </w:rPr>
        <w:t xml:space="preserve"> éd. 2015), p. 1; </w:t>
      </w:r>
      <w:r w:rsidRPr="00F52D1E">
        <w:rPr>
          <w:rFonts w:cs="Times New Roman"/>
          <w:i/>
          <w:lang w:val="fr-CA" w:bidi="en-US"/>
        </w:rPr>
        <w:t>Angle c. Ministre du Revenu national</w:t>
      </w:r>
      <w:r w:rsidRPr="00F52D1E">
        <w:rPr>
          <w:rFonts w:cs="Times New Roman"/>
          <w:lang w:val="fr-CA" w:bidi="en-US"/>
        </w:rPr>
        <w:t>,</w:t>
      </w:r>
      <w:r w:rsidRPr="00F52D1E">
        <w:rPr>
          <w:rFonts w:cs="Times New Roman"/>
          <w:i/>
          <w:iCs/>
          <w:lang w:val="fr-CA" w:bidi="en-US"/>
        </w:rPr>
        <w:t> </w:t>
      </w:r>
      <w:r w:rsidRPr="00F52D1E">
        <w:rPr>
          <w:rFonts w:cs="Times New Roman"/>
          <w:lang w:val="fr-CA" w:bidi="en-US"/>
        </w:rPr>
        <w:t xml:space="preserve">[1975] 2 R.C.S. 248, p. 254; </w:t>
      </w:r>
      <w:r w:rsidRPr="00F52D1E">
        <w:rPr>
          <w:rFonts w:cs="Times New Roman"/>
          <w:i/>
          <w:lang w:val="fr-CA" w:bidi="en-US"/>
        </w:rPr>
        <w:t>Penner c. Niagara (Commission régionale de services policiers)</w:t>
      </w:r>
      <w:r w:rsidRPr="00F52D1E">
        <w:rPr>
          <w:rFonts w:cs="Times New Roman"/>
          <w:lang w:val="fr-CA" w:bidi="en-US"/>
        </w:rPr>
        <w:t xml:space="preserve">, 2013 CSC 19, [2013] 2 R.C.S. 125, par. 36 et 92. En conséquence, si une autre violation du droit ancestral des Innus devait être alléguée dans le cadre d’un autre litige opposant des parties différentes, les Innus ne pourraient pas invoquer le principe de la chose jugée, et ils n’auraient d’autre choix que de plaider de nouveau leur cause et d’obtenir un </w:t>
      </w:r>
      <w:r w:rsidRPr="00F52D1E">
        <w:rPr>
          <w:rFonts w:cs="Times New Roman"/>
          <w:i/>
          <w:lang w:val="fr-CA" w:bidi="en-US"/>
        </w:rPr>
        <w:t>autre</w:t>
      </w:r>
      <w:r w:rsidRPr="00F52D1E">
        <w:rPr>
          <w:rFonts w:cs="Times New Roman"/>
          <w:lang w:val="fr-CA" w:bidi="en-US"/>
        </w:rPr>
        <w:t xml:space="preserve"> jugement déclaratoire </w:t>
      </w:r>
      <w:r w:rsidRPr="00F52D1E">
        <w:rPr>
          <w:rFonts w:cs="Times New Roman"/>
          <w:i/>
          <w:lang w:val="fr-CA" w:bidi="en-US"/>
        </w:rPr>
        <w:t>in personam</w:t>
      </w:r>
      <w:r w:rsidRPr="00F52D1E">
        <w:rPr>
          <w:rFonts w:cs="Times New Roman"/>
          <w:lang w:val="fr-CA" w:bidi="en-US"/>
        </w:rPr>
        <w:t xml:space="preserve"> à portée restreinte. Un jugement déclaratoire est censé donner de la certitude quant aux droits des parties, or, des conclusions à la pièce reconnaissant chacune un titre ancestral contre un défendeur ou un autre ne permettraient pas de savoir à tout moment avec certitude qui est titulaire de droits sur une parcelle de terre donnée.</w:t>
      </w:r>
    </w:p>
    <w:p w:rsidR="00CF3116" w:rsidRPr="00F52D1E" w:rsidRDefault="00CF3116" w:rsidP="00CF3116">
      <w:pPr>
        <w:pStyle w:val="ParaNoNdepar-AltN"/>
        <w:rPr>
          <w:rFonts w:cs="Times New Roman"/>
          <w:lang w:val="fr-CA"/>
        </w:rPr>
      </w:pPr>
      <w:r w:rsidRPr="00F52D1E">
        <w:rPr>
          <w:rFonts w:cs="Times New Roman"/>
          <w:lang w:val="fr-CA"/>
        </w:rPr>
        <w:t>Fait encore plus important, un jugement déclaratoire prononcé par une cour du Québec à l’égard d’un territoire n’empêcherait pas une cour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de conclure qu’</w:t>
      </w:r>
      <w:r w:rsidRPr="00F52D1E">
        <w:rPr>
          <w:rFonts w:cs="Times New Roman"/>
          <w:i/>
          <w:lang w:val="fr-CA"/>
        </w:rPr>
        <w:t>aucun</w:t>
      </w:r>
      <w:r w:rsidRPr="00F52D1E">
        <w:rPr>
          <w:rFonts w:cs="Times New Roman"/>
          <w:lang w:val="fr-CA"/>
        </w:rPr>
        <w:t xml:space="preserve"> titre ancestral n’a été reconnu à l’égard du même territoire situé au Labrador. Un tel résultat donnerait certainement — et à </w:t>
      </w:r>
      <w:r w:rsidRPr="00F52D1E">
        <w:rPr>
          <w:rFonts w:cs="Times New Roman"/>
          <w:lang w:val="fr-CA"/>
        </w:rPr>
        <w:lastRenderedPageBreak/>
        <w:t>juste titre — aux demandeurs autochtones l’impression que les cours ne sont pas en mesure de leur procurer les mesures de réparation qu’ils sollicitent.</w:t>
      </w:r>
    </w:p>
    <w:p w:rsidR="00CF3116" w:rsidRPr="00F52D1E" w:rsidRDefault="00CF3116" w:rsidP="00CF3116">
      <w:pPr>
        <w:pStyle w:val="ParaNoNdepar-AltN"/>
        <w:rPr>
          <w:rFonts w:cs="Times New Roman"/>
          <w:lang w:val="fr-CA"/>
        </w:rPr>
      </w:pPr>
      <w:r w:rsidRPr="00F52D1E">
        <w:rPr>
          <w:rFonts w:cs="Times New Roman"/>
          <w:lang w:val="fr-CA"/>
        </w:rPr>
        <w:t xml:space="preserve">Il n’est également pas souhaitable d’adopter cette approche d’un point de vue pratique. Il faut beaucoup de temps et d’éléments de preuve pour établir l’existence d’un titre ancestral. Comme l’a noté à bon droit le juge en chef Lamer dans </w:t>
      </w:r>
      <w:r w:rsidRPr="00F52D1E">
        <w:rPr>
          <w:rFonts w:cs="Times New Roman"/>
          <w:i/>
          <w:lang w:val="fr-CA"/>
        </w:rPr>
        <w:t>Delgamuukw</w:t>
      </w:r>
      <w:r w:rsidRPr="00F52D1E">
        <w:rPr>
          <w:rFonts w:cs="Times New Roman"/>
          <w:lang w:val="fr-CA"/>
        </w:rPr>
        <w:t>, il n’est pas facile de prouver l’existence d’un titre ancestral; la démarche peut être « longue et coûteuse, non seulement sur le plan financier, mais aussi sur le plan humain » : par. 186. D’ailleurs, dans cette affaire, le procès avait nécessité 318 jours de témoignages et avait abouti à une décision de plus de 400 pages : par. 89. Même si le titre ancestral en l’espèce est décrit comme le moyen d’atteindre une fin, les demandeurs devront tout de même faire la preuve de son existence pour obtenir le jugement déclaratoire qui servirait d’assise pour leur demande en responsabilité civile. Il s’ensuit que les Innus pourraient consacrer des années à tenter de prouver l’existence de ce titre en vue du présent litige et n’obtenir en fin de compte qu’un jugement déclaratoire qui, alors qu’il est censé reconnaître ce titre, n’est en réalité qu’une coquille vide. Il ne s’agit pas d’accès à la justice. Il s’agit plutôt d’un fardeau important à imposer à un groupe autochtone, d’autant plus que, en définitive, le jugement obtenu ne confère pas réellement ce qu’il prétend conférer.</w:t>
      </w:r>
    </w:p>
    <w:p w:rsidR="00CF3116" w:rsidRPr="00F52D1E" w:rsidRDefault="00CF3116" w:rsidP="00CF3116">
      <w:pPr>
        <w:pStyle w:val="ParaNoNdepar-AltN"/>
        <w:rPr>
          <w:rFonts w:cs="Times New Roman"/>
          <w:lang w:val="fr-CA"/>
        </w:rPr>
      </w:pPr>
      <w:r w:rsidRPr="00F52D1E">
        <w:rPr>
          <w:rFonts w:cs="Times New Roman"/>
          <w:lang w:val="fr-CA"/>
        </w:rPr>
        <w:t xml:space="preserve">Enfin, cette approche </w:t>
      </w:r>
      <w:r w:rsidRPr="00F52D1E">
        <w:rPr>
          <w:rFonts w:cs="Times New Roman"/>
          <w:i/>
          <w:lang w:val="fr-CA"/>
        </w:rPr>
        <w:t>in personam</w:t>
      </w:r>
      <w:r w:rsidRPr="00F52D1E">
        <w:rPr>
          <w:rFonts w:cs="Times New Roman"/>
          <w:lang w:val="fr-CA"/>
        </w:rPr>
        <w:t xml:space="preserve"> entraverait aussi toute perspective de négociations continues avec les gouvernements du Québec et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au sujet du titre revendiqué par les Innus. Comme la Cour l’a noté, « [m]ême si les revendications autochtones sont et peuvent être réglées dans le cadre de litiges, il est préférable de recourir à la négociation pour concilier les intérêts </w:t>
      </w:r>
      <w:r w:rsidRPr="00F52D1E">
        <w:rPr>
          <w:rFonts w:cs="Times New Roman"/>
          <w:lang w:val="fr-CA"/>
        </w:rPr>
        <w:lastRenderedPageBreak/>
        <w:t xml:space="preserve">de la Couronne et ceux des Autochtones » : </w:t>
      </w:r>
      <w:r w:rsidRPr="00F52D1E">
        <w:rPr>
          <w:rFonts w:cs="Times New Roman"/>
          <w:i/>
          <w:lang w:val="fr-CA"/>
        </w:rPr>
        <w:t>Nation Haïda</w:t>
      </w:r>
      <w:r w:rsidRPr="00F52D1E">
        <w:rPr>
          <w:rFonts w:cs="Times New Roman"/>
          <w:lang w:val="fr-CA"/>
        </w:rPr>
        <w:t xml:space="preserve">, par. 14; voir aussi </w:t>
      </w:r>
      <w:r w:rsidRPr="00F52D1E">
        <w:rPr>
          <w:rFonts w:cs="Times New Roman"/>
          <w:i/>
          <w:lang w:val="fr-CA"/>
        </w:rPr>
        <w:t>Mikisew Cree First Nation c. Canada (Gouverneur général en conseil)</w:t>
      </w:r>
      <w:r w:rsidRPr="00F52D1E">
        <w:rPr>
          <w:rFonts w:cs="Times New Roman"/>
          <w:lang w:val="fr-CA"/>
        </w:rPr>
        <w:t>, 2018 CSC 40, [2018] 2 R.C.S. 765, par. 22 et 26. Toute négociation de ce type serait mise en veilleuse durant le long processus qui aboutirait à un jugement déclaratoire reconnaissant l’existence d’un titre ancestral, à portée « restreinte ». Ce processus créerait de grandes attentes sans pour autant traiter des véritables questions en jeu.</w:t>
      </w:r>
    </w:p>
    <w:p w:rsidR="00CF3116" w:rsidRPr="00F52D1E" w:rsidRDefault="00CF3116" w:rsidP="00CF3116">
      <w:pPr>
        <w:pStyle w:val="ParaNoNdepar-AltN"/>
        <w:rPr>
          <w:rFonts w:cs="Times New Roman"/>
          <w:lang w:val="fr-CA"/>
        </w:rPr>
      </w:pPr>
      <w:r w:rsidRPr="00F52D1E">
        <w:rPr>
          <w:rFonts w:cs="Times New Roman"/>
          <w:lang w:val="fr-CA"/>
        </w:rPr>
        <w:t>Le juge de la Cour supérieure a demandé si l’on « [p]eut [. . .] dire qu’il est dans l’intérêt de la justice qu’essentiellement le même débat ait lieu devant deux juridictions qui doivent toutes les deux appliquer la même loi, et ce, quand les tribunaux qui entendront les causes sont tous les deux de nomination fédérale » :</w:t>
      </w:r>
      <w:r w:rsidRPr="00F52D1E">
        <w:rPr>
          <w:rFonts w:cs="Times New Roman"/>
          <w:lang w:val="fr-CA" w:bidi="en-US"/>
        </w:rPr>
        <w:t xml:space="preserve"> motifs de la C.S., par. 107. Nous demandons en retour si l’on peut dire qu’il est dans l’intérêt de la justice de permettre à une cour de rendre un jugement déclaratoire reconnaissant un titre ancestral, jugement dont la portée ne serait pas claire et dont la validité serait douteuse, semant ainsi la confusion et l’incertitude pour toutes les parties concernées. C’est sans équivoque qu’il faut répondre par la négative. Nous ne souscrivons pas à la conception unitaire qu’a le juge de la Cour supérieu</w:t>
      </w:r>
      <w:r w:rsidR="000D363E">
        <w:rPr>
          <w:rFonts w:cs="Times New Roman"/>
          <w:lang w:val="fr-CA" w:bidi="en-US"/>
        </w:rPr>
        <w:t>re de la fédération canadienne.</w:t>
      </w:r>
    </w:p>
    <w:p w:rsidR="00CF3116" w:rsidRPr="00F52D1E" w:rsidRDefault="00CF3116" w:rsidP="00CF3116">
      <w:pPr>
        <w:pStyle w:val="Title3LevelTitre3Niveau"/>
        <w:tabs>
          <w:tab w:val="clear" w:pos="1152"/>
        </w:tabs>
        <w:ind w:left="1530"/>
        <w:rPr>
          <w:rFonts w:cs="Times New Roman"/>
          <w:lang w:val="fr-CA"/>
        </w:rPr>
      </w:pPr>
      <w:bookmarkStart w:id="135" w:name="_Toc33007311"/>
      <w:bookmarkStart w:id="136" w:name="_Toc29195626"/>
      <w:r w:rsidRPr="00F52D1E">
        <w:rPr>
          <w:rFonts w:cs="Times New Roman"/>
          <w:lang w:val="fr-CA"/>
        </w:rPr>
        <w:t>Incompatibilité avec le principe de l’immunité de la Couronne</w:t>
      </w:r>
      <w:bookmarkEnd w:id="135"/>
      <w:bookmarkEnd w:id="136"/>
    </w:p>
    <w:p w:rsidR="00CF3116" w:rsidRPr="00F52D1E" w:rsidRDefault="00CF3116" w:rsidP="00CF3116">
      <w:pPr>
        <w:pStyle w:val="ParaNoNdepar-AltN"/>
        <w:rPr>
          <w:rFonts w:cs="Times New Roman"/>
          <w:lang w:val="fr-CA"/>
        </w:rPr>
      </w:pPr>
      <w:r w:rsidRPr="00F52D1E">
        <w:rPr>
          <w:rFonts w:cs="Times New Roman"/>
          <w:lang w:val="fr-CA"/>
        </w:rPr>
        <w:t>Selon le principe constitutionnel de l’immunité de la Couronne, cette dernière ne peut être poursuivie que si elle l’autorise. Ce principe est « bien ancr</w:t>
      </w:r>
      <w:r w:rsidR="007901BC" w:rsidRPr="00F52D1E">
        <w:rPr>
          <w:rFonts w:cs="Times New Roman"/>
          <w:lang w:val="fr-CA"/>
        </w:rPr>
        <w:t>[</w:t>
      </w:r>
      <w:r w:rsidRPr="00F52D1E">
        <w:rPr>
          <w:rFonts w:cs="Times New Roman"/>
          <w:lang w:val="fr-CA"/>
        </w:rPr>
        <w:t>é</w:t>
      </w:r>
      <w:r w:rsidR="007901BC" w:rsidRPr="00F52D1E">
        <w:rPr>
          <w:rFonts w:cs="Times New Roman"/>
          <w:lang w:val="fr-CA"/>
        </w:rPr>
        <w:t xml:space="preserve">] </w:t>
      </w:r>
      <w:r w:rsidRPr="00F52D1E">
        <w:rPr>
          <w:rFonts w:cs="Times New Roman"/>
          <w:lang w:val="fr-CA"/>
        </w:rPr>
        <w:t xml:space="preserve">[. . .] dans notre droit » et ne peut être mis de côté qu’au moyen « d’une expression claire et non équivoque du législateur » : </w:t>
      </w:r>
      <w:r w:rsidRPr="00F52D1E">
        <w:rPr>
          <w:rFonts w:cs="Times New Roman"/>
          <w:i/>
          <w:lang w:val="fr-CA" w:bidi="en-US"/>
        </w:rPr>
        <w:t>Canada (procureur général) c. Thouin</w:t>
      </w:r>
      <w:r w:rsidRPr="00F52D1E">
        <w:rPr>
          <w:rFonts w:cs="Times New Roman"/>
          <w:lang w:val="fr-CA" w:bidi="en-US"/>
        </w:rPr>
        <w:t xml:space="preserve">, 2017 CSC 46, [2017] 2 R.C.S. 184, par. 1. Toutes les assemblées législatives provinciales ont adopté des lois qui autorisent les poursuites contre la Couronne, mais uniquement </w:t>
      </w:r>
      <w:r w:rsidRPr="00F52D1E">
        <w:rPr>
          <w:rFonts w:cs="Times New Roman"/>
          <w:lang w:val="fr-CA" w:bidi="en-US"/>
        </w:rPr>
        <w:lastRenderedPageBreak/>
        <w:t xml:space="preserve">devant leurs tribunaux respectifs : voir, par exemple, </w:t>
      </w:r>
      <w:r w:rsidRPr="00F52D1E">
        <w:rPr>
          <w:rFonts w:cs="Times New Roman"/>
          <w:i/>
          <w:lang w:val="fr-CA" w:bidi="en-US"/>
        </w:rPr>
        <w:t>Proceedings Against the Crown Act</w:t>
      </w:r>
      <w:r w:rsidRPr="00F52D1E">
        <w:rPr>
          <w:rFonts w:cs="Times New Roman"/>
          <w:lang w:val="fr-CA" w:bidi="en-US"/>
        </w:rPr>
        <w:t>, R.S.N.L. 1990, c. P</w:t>
      </w:r>
      <w:r w:rsidRPr="00F52D1E">
        <w:rPr>
          <w:rFonts w:cs="Times New Roman"/>
          <w:lang w:val="fr-CA" w:bidi="en-US"/>
        </w:rPr>
        <w:noBreakHyphen/>
        <w:t>26, art. 4 et 7.</w:t>
      </w:r>
    </w:p>
    <w:p w:rsidR="00CF3116" w:rsidRPr="00F52D1E" w:rsidRDefault="00CF3116" w:rsidP="00CF3116">
      <w:pPr>
        <w:pStyle w:val="ParaNoNdepar-AltN"/>
        <w:rPr>
          <w:rFonts w:cs="Times New Roman"/>
          <w:lang w:val="fr-CA"/>
        </w:rPr>
      </w:pPr>
      <w:r w:rsidRPr="00F52D1E">
        <w:rPr>
          <w:rFonts w:cs="Times New Roman"/>
          <w:lang w:val="fr-CA"/>
        </w:rPr>
        <w:t xml:space="preserve">C’est aussi simple que cela. La Couronne d’une province ne peut pas être poursuivie devant les tribunaux d’une autre province : </w:t>
      </w:r>
      <w:r w:rsidRPr="00F52D1E">
        <w:rPr>
          <w:rFonts w:cs="Times New Roman"/>
          <w:i/>
          <w:lang w:val="fr-CA" w:bidi="en-US"/>
        </w:rPr>
        <w:t>Athabasca Chipewyan First Nation c. Canada (Minister of Indian Affairs and Northern Development)</w:t>
      </w:r>
      <w:r w:rsidRPr="00F52D1E">
        <w:rPr>
          <w:rFonts w:cs="Times New Roman"/>
          <w:lang w:val="fr-CA" w:bidi="en-US"/>
        </w:rPr>
        <w:t>, 2001 ABCA 112, 199 D.L.R. (4th) 452, par. 23</w:t>
      </w:r>
      <w:r w:rsidRPr="00F52D1E">
        <w:rPr>
          <w:rFonts w:cs="Times New Roman"/>
          <w:lang w:val="fr-CA" w:bidi="en-US"/>
        </w:rPr>
        <w:noBreakHyphen/>
        <w:t xml:space="preserve">43; </w:t>
      </w:r>
      <w:r w:rsidRPr="00F52D1E">
        <w:rPr>
          <w:rFonts w:cs="Times New Roman"/>
          <w:i/>
          <w:lang w:val="fr-CA" w:bidi="en-US"/>
        </w:rPr>
        <w:t>Sauve c. Québec (Procureur général)</w:t>
      </w:r>
      <w:r w:rsidRPr="00F52D1E">
        <w:rPr>
          <w:rFonts w:cs="Times New Roman"/>
          <w:lang w:val="fr-CA" w:bidi="en-US"/>
        </w:rPr>
        <w:t xml:space="preserve">, 2011 ONCA 369, par. 3 (CanLII); </w:t>
      </w:r>
      <w:r w:rsidRPr="00F52D1E">
        <w:rPr>
          <w:rFonts w:cs="Times New Roman"/>
          <w:i/>
          <w:lang w:val="fr-CA" w:bidi="en-US"/>
        </w:rPr>
        <w:t>Medvid c Saskatchewan (Minister of Health)</w:t>
      </w:r>
      <w:r w:rsidRPr="00F52D1E">
        <w:rPr>
          <w:rFonts w:cs="Times New Roman"/>
          <w:lang w:val="fr-CA" w:bidi="en-US"/>
        </w:rPr>
        <w:t>, 2012 SKCA 49, 349 D.L.R. (4th) 72, par. 26</w:t>
      </w:r>
      <w:r w:rsidRPr="00F52D1E">
        <w:rPr>
          <w:rFonts w:cs="Times New Roman"/>
          <w:lang w:val="fr-CA" w:bidi="en-US"/>
        </w:rPr>
        <w:noBreakHyphen/>
        <w:t xml:space="preserve">31; </w:t>
      </w:r>
      <w:r w:rsidRPr="00F52D1E">
        <w:rPr>
          <w:rFonts w:cs="Times New Roman"/>
          <w:i/>
          <w:lang w:val="fr-CA" w:bidi="en-US"/>
        </w:rPr>
        <w:t>Constructions Beauce</w:t>
      </w:r>
      <w:r w:rsidRPr="00F52D1E">
        <w:rPr>
          <w:rFonts w:cs="Times New Roman"/>
          <w:i/>
          <w:lang w:val="fr-CA" w:bidi="en-US"/>
        </w:rPr>
        <w:noBreakHyphen/>
        <w:t>Atlas inc. c. Pomerleau inc.</w:t>
      </w:r>
      <w:r w:rsidRPr="00F52D1E">
        <w:rPr>
          <w:rFonts w:cs="Times New Roman"/>
          <w:lang w:val="fr-CA" w:bidi="en-US"/>
        </w:rPr>
        <w:t>, 2013 QCCS 4077, par. 16</w:t>
      </w:r>
      <w:r w:rsidRPr="00F52D1E">
        <w:rPr>
          <w:rFonts w:cs="Times New Roman"/>
          <w:lang w:val="fr-CA" w:bidi="en-US"/>
        </w:rPr>
        <w:noBreakHyphen/>
        <w:t>32 (CanLII). En plus d’être une conséquence du principe constitutionnel du fédéralisme, il s’agit d’une règle législative (</w:t>
      </w:r>
      <w:r w:rsidRPr="00F52D1E">
        <w:rPr>
          <w:rFonts w:cs="Times New Roman"/>
          <w:i/>
          <w:lang w:val="fr-CA" w:bidi="en-US"/>
        </w:rPr>
        <w:t>Proceedings Against the Crown Act</w:t>
      </w:r>
      <w:r w:rsidRPr="00F52D1E">
        <w:rPr>
          <w:rFonts w:cs="Times New Roman"/>
          <w:lang w:val="fr-CA" w:bidi="en-US"/>
        </w:rPr>
        <w:t>, art. 7) qui ne peut être écartée que si elle est contestée avec succès sur le plan constitutionnel.</w:t>
      </w:r>
    </w:p>
    <w:p w:rsidR="00CF3116" w:rsidRPr="00F52D1E" w:rsidRDefault="00CF3116" w:rsidP="00CF3116">
      <w:pPr>
        <w:pStyle w:val="ParaNoNdepar-AltN"/>
        <w:rPr>
          <w:rFonts w:cs="Times New Roman"/>
          <w:lang w:val="fr-CA"/>
        </w:rPr>
      </w:pPr>
      <w:r w:rsidRPr="00F52D1E">
        <w:rPr>
          <w:rFonts w:cs="Times New Roman"/>
          <w:lang w:val="fr-CA"/>
        </w:rPr>
        <w:t>Selon nos collègues, il n’est pas nécessaire de traiter de la question de l’immunité de la Couronne (par. 71</w:t>
      </w:r>
      <w:r w:rsidRPr="00F52D1E">
        <w:rPr>
          <w:rFonts w:cs="Times New Roman"/>
          <w:lang w:val="fr-CA"/>
        </w:rPr>
        <w:noBreakHyphen/>
        <w:t>72) parce que celle</w:t>
      </w:r>
      <w:r w:rsidRPr="00F52D1E">
        <w:rPr>
          <w:rFonts w:cs="Times New Roman"/>
          <w:lang w:val="fr-CA"/>
        </w:rPr>
        <w:noBreakHyphen/>
        <w:t xml:space="preserve">ci n’est pas désignée comme partie dans la poursuite des Innus. Or, comme nous l’avons noté, la revendication d’un titre ancestral concerne </w:t>
      </w:r>
      <w:r w:rsidRPr="00F52D1E">
        <w:rPr>
          <w:rFonts w:cs="Times New Roman"/>
          <w:i/>
          <w:lang w:val="fr-CA"/>
        </w:rPr>
        <w:t>nécessairement</w:t>
      </w:r>
      <w:r w:rsidRPr="00F52D1E">
        <w:rPr>
          <w:rFonts w:cs="Times New Roman"/>
          <w:lang w:val="fr-CA"/>
        </w:rPr>
        <w:t xml:space="preserve"> la Couronne. Contrairement aux litiges ordinaires en matière foncière qui opposent des parties privées dans un cadre de droit privé, la revendication d’un titre ancestral touche l’essence même de la souveraineté de la Couronne et entraîne des obligations pour elle.</w:t>
      </w:r>
    </w:p>
    <w:p w:rsidR="00CF3116" w:rsidRPr="00F52D1E" w:rsidRDefault="00CF3116" w:rsidP="00CF3116">
      <w:pPr>
        <w:pStyle w:val="ParaNoNdepar-AltN"/>
        <w:rPr>
          <w:rFonts w:cs="Times New Roman"/>
          <w:lang w:val="fr-CA"/>
        </w:rPr>
      </w:pPr>
      <w:r w:rsidRPr="00F52D1E">
        <w:rPr>
          <w:rFonts w:cs="Times New Roman"/>
          <w:lang w:val="fr-CA"/>
        </w:rPr>
        <w:t>Non seulement la présence de la Couronne est</w:t>
      </w:r>
      <w:r w:rsidRPr="00F52D1E">
        <w:rPr>
          <w:rFonts w:cs="Times New Roman"/>
          <w:lang w:val="fr-CA"/>
        </w:rPr>
        <w:noBreakHyphen/>
        <w:t xml:space="preserve">elle nécessaire par principe, mais elle aide en outre à garantir que les questions sont entendues équitablement. On ne peut tenir pour acquis que des parties privées ont quelque connaissance que ce soit </w:t>
      </w:r>
      <w:r w:rsidRPr="00F52D1E">
        <w:rPr>
          <w:rFonts w:cs="Times New Roman"/>
          <w:lang w:val="fr-CA"/>
        </w:rPr>
        <w:lastRenderedPageBreak/>
        <w:t xml:space="preserve">quant à l’occupation du territoire au moment où la Couronne a affirmé sa souveraineté : </w:t>
      </w:r>
      <w:r w:rsidRPr="00F52D1E">
        <w:rPr>
          <w:rFonts w:cs="Times New Roman"/>
          <w:i/>
          <w:lang w:val="fr-CA"/>
        </w:rPr>
        <w:t>Thomas</w:t>
      </w:r>
      <w:r w:rsidRPr="00F52D1E">
        <w:rPr>
          <w:rFonts w:cs="Times New Roman"/>
          <w:lang w:val="fr-CA"/>
        </w:rPr>
        <w:t xml:space="preserve">, par. 23. De plus, elles pourraient ne pas disposer des ressources pour répondre efficacement à une poursuite complexe intentée pour obtenir la reconnaissance d’un titre ancestral. Comme le juge Binnie l’a affirmé dans </w:t>
      </w:r>
      <w:r w:rsidRPr="00F52D1E">
        <w:rPr>
          <w:rFonts w:cs="Times New Roman"/>
          <w:i/>
          <w:lang w:val="fr-CA"/>
        </w:rPr>
        <w:t>Bande indienne des Lax Kw’alaams c. Canada (Procureur général)</w:t>
      </w:r>
      <w:r w:rsidRPr="00F52D1E">
        <w:rPr>
          <w:rFonts w:cs="Times New Roman"/>
          <w:lang w:val="fr-CA"/>
        </w:rPr>
        <w:t>, 2011 CSC 56, [2011] 3 R.C.S. 535 :</w:t>
      </w:r>
    </w:p>
    <w:p w:rsidR="00CF3116" w:rsidRPr="00F52D1E" w:rsidRDefault="00CF3116" w:rsidP="00CF3116">
      <w:pPr>
        <w:pStyle w:val="Citation-AltC"/>
        <w:rPr>
          <w:shd w:val="clear" w:color="auto" w:fill="FFFFFF"/>
        </w:rPr>
      </w:pPr>
      <w:r w:rsidRPr="00F52D1E">
        <w:rPr>
          <w:shd w:val="clear" w:color="auto" w:fill="FFFFFF"/>
          <w:lang w:val="fr-CA"/>
        </w:rPr>
        <w:t>. . . Les litiges sur les droits ancestraux revêtent [. . .] une grande importance tant pour les collectivités non autochtones que pour les collectivités autochtones et pour le bien</w:t>
      </w:r>
      <w:r w:rsidRPr="00F52D1E">
        <w:rPr>
          <w:shd w:val="clear" w:color="auto" w:fill="FFFFFF"/>
          <w:lang w:val="fr-CA"/>
        </w:rPr>
        <w:noBreakHyphen/>
        <w:t xml:space="preserve">être économique des unes et des autres. Une décision sur l’existence et la portée de droits ancestraux garantis par le par. 35(1) de la </w:t>
      </w:r>
      <w:r w:rsidRPr="00F52D1E">
        <w:rPr>
          <w:i/>
          <w:shd w:val="clear" w:color="auto" w:fill="FFFFFF"/>
          <w:lang w:val="fr-CA"/>
        </w:rPr>
        <w:t>Loi constitutionnelle de 1982</w:t>
      </w:r>
      <w:r w:rsidRPr="00F52D1E">
        <w:rPr>
          <w:shd w:val="clear" w:color="auto" w:fill="FFFFFF"/>
          <w:lang w:val="fr-CA"/>
        </w:rPr>
        <w:t xml:space="preserve"> ne peut être rendue qu’après une audition complète et équitable pour tous les intéressés. </w:t>
      </w:r>
      <w:r w:rsidRPr="00F52D1E">
        <w:rPr>
          <w:shd w:val="clear" w:color="auto" w:fill="FFFFFF"/>
        </w:rPr>
        <w:t>[par. 12]</w:t>
      </w:r>
    </w:p>
    <w:p w:rsidR="00CF3116" w:rsidRPr="00F52D1E" w:rsidRDefault="00CF3116" w:rsidP="00CF3116">
      <w:pPr>
        <w:pStyle w:val="ParaNoNdepar-AltN"/>
        <w:rPr>
          <w:rFonts w:cs="Times New Roman"/>
          <w:lang w:val="fr-CA"/>
        </w:rPr>
      </w:pPr>
      <w:r w:rsidRPr="00F52D1E">
        <w:rPr>
          <w:rFonts w:cs="Times New Roman"/>
          <w:lang w:val="fr-CA"/>
        </w:rPr>
        <w:t>L’approche préconisée par le PGC fait totalement fi de ce rôle important. De surcroît, elle ne tient pas compte des intérêts d’autres groupes autochtones relativement à des revendications territoriales qui concernent un même territoire, une difficulté qui, comme nous en discuterons ultérieurement, est présente en l’espèce. La nécessité que la Couronne se joigne à la cause à titre de partie est donc d’autant plus impérieuse compte tenu de son rôle de fiduciaire envers ces autres parties prenantes autochtones.</w:t>
      </w:r>
    </w:p>
    <w:p w:rsidR="00CF3116" w:rsidRPr="00F52D1E" w:rsidRDefault="00CF3116" w:rsidP="00CF3116">
      <w:pPr>
        <w:pStyle w:val="ParaNoNdepar-AltN"/>
        <w:rPr>
          <w:rFonts w:cs="Times New Roman"/>
          <w:lang w:val="fr-CA"/>
        </w:rPr>
      </w:pPr>
      <w:r w:rsidRPr="00F52D1E">
        <w:rPr>
          <w:rFonts w:cs="Times New Roman"/>
          <w:lang w:val="fr-CA"/>
        </w:rPr>
        <w:t>Le juge de la Cour supérieure a conclu que la doctrine de l’immunité de la Couronne devrait être modifiée de sorte qu’elle ne s’appliquerait pas dans le contexte de revendications fondées sur l’art. 35 qui concernent plus d’une juridiction : motifs de la C.S., par. 115</w:t>
      </w:r>
      <w:r w:rsidRPr="00F52D1E">
        <w:rPr>
          <w:rFonts w:cs="Times New Roman"/>
          <w:lang w:val="fr-CA"/>
        </w:rPr>
        <w:noBreakHyphen/>
        <w:t xml:space="preserve">118. Cet argument est fondé sur le concept que les cours d’une province peuvent entendre une cause tout aussi équitablement que celles d’une autre province. Il n’a toutefois pas expliqué sur quel fondement l’art. 7 de la </w:t>
      </w:r>
      <w:r w:rsidRPr="00F52D1E">
        <w:rPr>
          <w:rFonts w:cs="Times New Roman"/>
          <w:i/>
          <w:lang w:val="fr-CA" w:bidi="en-US"/>
        </w:rPr>
        <w:t xml:space="preserve">Proceedings </w:t>
      </w:r>
      <w:r w:rsidRPr="00F52D1E">
        <w:rPr>
          <w:rFonts w:cs="Times New Roman"/>
          <w:i/>
          <w:lang w:val="fr-CA" w:bidi="en-US"/>
        </w:rPr>
        <w:lastRenderedPageBreak/>
        <w:t>Against the Crown Act</w:t>
      </w:r>
      <w:r w:rsidRPr="00F52D1E">
        <w:rPr>
          <w:rFonts w:cs="Times New Roman"/>
          <w:lang w:val="fr-CA" w:bidi="en-US"/>
        </w:rPr>
        <w:t xml:space="preserve"> n’est constitutionnellement pas applicable, notamment en l’absence d’un avis de question constitutionnelle.</w:t>
      </w:r>
    </w:p>
    <w:p w:rsidR="00CF3116" w:rsidRPr="00F52D1E" w:rsidRDefault="00CF3116" w:rsidP="00CF3116">
      <w:pPr>
        <w:pStyle w:val="ParaNoNdepar-AltN"/>
        <w:rPr>
          <w:rFonts w:cs="Times New Roman"/>
          <w:lang w:val="fr-CA"/>
        </w:rPr>
      </w:pPr>
      <w:r w:rsidRPr="00F52D1E">
        <w:rPr>
          <w:rFonts w:cs="Times New Roman"/>
          <w:lang w:val="fr-CA"/>
        </w:rPr>
        <w:t xml:space="preserve">Comme la juge Hunt de la Cour d’appel de l’Alberta l’a affirmé dans l’arrêt </w:t>
      </w:r>
      <w:r w:rsidRPr="00F52D1E">
        <w:rPr>
          <w:rFonts w:cs="Times New Roman"/>
          <w:i/>
          <w:lang w:val="fr-CA"/>
        </w:rPr>
        <w:t>Athabasca</w:t>
      </w:r>
      <w:r w:rsidRPr="00F52D1E">
        <w:rPr>
          <w:rFonts w:cs="Times New Roman"/>
          <w:lang w:val="fr-CA"/>
        </w:rPr>
        <w:t>, [</w:t>
      </w:r>
      <w:r w:rsidRPr="00F52D1E">
        <w:rPr>
          <w:rFonts w:cs="Times New Roman"/>
          <w:smallCaps/>
          <w:lang w:val="fr-CA"/>
        </w:rPr>
        <w:t>traduction</w:t>
      </w:r>
      <w:r w:rsidRPr="00F52D1E">
        <w:rPr>
          <w:rFonts w:cs="Times New Roman"/>
          <w:lang w:val="fr-CA"/>
        </w:rPr>
        <w:t>] « [ì]l est contraire à notre conception de base du fédéralisme que la décision de la Couronne du chef d’une province quant à l’étendue de sa renonciation à son immunité et quant à la façon dont elle le fait puisse être déclarée inapplicable sur le plan constitutionnel par des cours créées par la Couronne du chef d’une autre province » : par. 39. Soit dit en tout respect pour le PGC, même si le juge de la Cour supérieure en l’espèce avait été régulièrement saisi de la question, ce n’est pas parce que les juges des autres provinces sont incapables de se prononcer équitablement ou avec compétence qu’un litige intenté contre la Couronne du chef d’une province ne peut être entendu que par la cour supérieure de cette dernière; il s’agit plutôt du reflet du principe élémentaire du fédéralisme et de l’importance de résoudre les questions fondamentales relatives à la souveraineté d’une province au sein de son propre système juridique.</w:t>
      </w:r>
    </w:p>
    <w:p w:rsidR="00CF3116" w:rsidRPr="00F52D1E" w:rsidRDefault="00CF3116" w:rsidP="00CF3116">
      <w:pPr>
        <w:pStyle w:val="Title3LevelTitre3Niveau"/>
        <w:tabs>
          <w:tab w:val="clear" w:pos="1152"/>
        </w:tabs>
        <w:ind w:left="1530"/>
        <w:rPr>
          <w:rFonts w:cs="Times New Roman"/>
          <w:lang w:val="fr-CA"/>
        </w:rPr>
      </w:pPr>
      <w:bookmarkStart w:id="137" w:name="_Toc29195627"/>
      <w:bookmarkStart w:id="138" w:name="_Toc33007312"/>
      <w:r w:rsidRPr="00F52D1E">
        <w:rPr>
          <w:rFonts w:cs="Times New Roman"/>
          <w:lang w:val="fr-CA"/>
        </w:rPr>
        <w:t>Approche préconisée par le PGC : obstacle à l’accès à la justice</w:t>
      </w:r>
      <w:bookmarkEnd w:id="137"/>
      <w:bookmarkEnd w:id="138"/>
    </w:p>
    <w:p w:rsidR="00CF3116" w:rsidRPr="00F52D1E" w:rsidRDefault="00CF3116" w:rsidP="00CF3116">
      <w:pPr>
        <w:pStyle w:val="ParaNoNdepar-AltN"/>
        <w:rPr>
          <w:rFonts w:cs="Times New Roman"/>
          <w:lang w:val="fr-CA"/>
        </w:rPr>
      </w:pPr>
      <w:r w:rsidRPr="00F52D1E">
        <w:rPr>
          <w:rFonts w:cs="Times New Roman"/>
          <w:lang w:val="fr-CA"/>
        </w:rPr>
        <w:t xml:space="preserve">L’accès à la justice suppose l’accès à un tribunal qui peut légalement et définitivement statuer sur les demandes. Comme la juge Karakatsanis l’a expliqué dans </w:t>
      </w:r>
      <w:r w:rsidRPr="00F52D1E">
        <w:rPr>
          <w:rFonts w:cs="Times New Roman"/>
          <w:i/>
          <w:lang w:val="fr-CA"/>
        </w:rPr>
        <w:t>Hryniak</w:t>
      </w:r>
      <w:r w:rsidRPr="00F52D1E">
        <w:rPr>
          <w:rFonts w:cs="Times New Roman"/>
          <w:lang w:val="fr-CA"/>
        </w:rPr>
        <w:t>, « [d]e nos jours, garantir l’accès à la justice constitue le plus grand défi à relever pour assurer la prim</w:t>
      </w:r>
      <w:r w:rsidR="007F5847">
        <w:rPr>
          <w:rFonts w:cs="Times New Roman"/>
          <w:lang w:val="fr-CA"/>
        </w:rPr>
        <w:t>auté du droit au Canada [. . .]</w:t>
      </w:r>
      <w:r w:rsidRPr="00F52D1E">
        <w:rPr>
          <w:rFonts w:cs="Times New Roman"/>
          <w:lang w:val="fr-CA"/>
        </w:rPr>
        <w:t xml:space="preserve"> À défaut de moyens </w:t>
      </w:r>
      <w:r w:rsidRPr="00F52D1E">
        <w:rPr>
          <w:rFonts w:cs="Times New Roman"/>
          <w:u w:val="single"/>
          <w:lang w:val="fr-CA"/>
        </w:rPr>
        <w:t>efficaces</w:t>
      </w:r>
      <w:r w:rsidRPr="00F52D1E">
        <w:rPr>
          <w:rFonts w:cs="Times New Roman"/>
          <w:lang w:val="fr-CA"/>
        </w:rPr>
        <w:t xml:space="preserve"> et accessibles de faire respecter les droits, la primauté du droit est compromise » : par. 1 (nous soulignons). Comme nos collègues, nous estimons que des préoccupations importantes quant à l’accès à la justice sont en jeu en l’espèce. Nous soulignons </w:t>
      </w:r>
      <w:r w:rsidRPr="00F52D1E">
        <w:rPr>
          <w:rFonts w:cs="Times New Roman"/>
          <w:lang w:val="fr-CA"/>
        </w:rPr>
        <w:lastRenderedPageBreak/>
        <w:t xml:space="preserve">toutefois que l’accès à la justice requiert des moyens </w:t>
      </w:r>
      <w:r w:rsidRPr="00F52D1E">
        <w:rPr>
          <w:rFonts w:cs="Times New Roman"/>
          <w:i/>
          <w:lang w:val="fr-CA"/>
        </w:rPr>
        <w:t>efficaces</w:t>
      </w:r>
      <w:r w:rsidRPr="00F52D1E">
        <w:rPr>
          <w:rFonts w:cs="Times New Roman"/>
          <w:lang w:val="fr-CA"/>
        </w:rPr>
        <w:t xml:space="preserve"> de faire respecter les droits. Selon nous, l’approche préconisée par le PGC n’offre pas une telle solution </w:t>
      </w:r>
      <w:r w:rsidRPr="00F52D1E">
        <w:rPr>
          <w:rFonts w:cs="Times New Roman"/>
          <w:i/>
          <w:lang w:val="fr-CA"/>
        </w:rPr>
        <w:t>efficace</w:t>
      </w:r>
      <w:r w:rsidRPr="00F52D1E">
        <w:rPr>
          <w:rFonts w:cs="Times New Roman"/>
          <w:lang w:val="fr-CA"/>
        </w:rPr>
        <w:t>.</w:t>
      </w:r>
    </w:p>
    <w:p w:rsidR="00CF3116" w:rsidRPr="00F52D1E" w:rsidRDefault="00CF3116" w:rsidP="00CF3116">
      <w:pPr>
        <w:pStyle w:val="ParaNoNdepar-AltN"/>
        <w:rPr>
          <w:rFonts w:cs="Times New Roman"/>
          <w:lang w:val="fr-CA"/>
        </w:rPr>
      </w:pPr>
      <w:r w:rsidRPr="00F52D1E">
        <w:rPr>
          <w:rFonts w:cs="Times New Roman"/>
          <w:lang w:val="fr-CA"/>
        </w:rPr>
        <w:t>Comme la Cour l’a expliqué, l’accès à la justice renferme deux dimensions interreliées :</w:t>
      </w:r>
    </w:p>
    <w:p w:rsidR="00CF3116" w:rsidRPr="00F52D1E" w:rsidRDefault="00CF3116" w:rsidP="00CF3116">
      <w:pPr>
        <w:pStyle w:val="Citation-AltC"/>
        <w:rPr>
          <w:lang w:val="fr-CA"/>
        </w:rPr>
      </w:pPr>
      <w:r w:rsidRPr="00F52D1E">
        <w:rPr>
          <w:lang w:val="fr-CA"/>
        </w:rPr>
        <w:t>L’une intéresse la procédure et la question de savoir si les demandeurs disposent d’une voie équitable de règlement de leurs réclamations. L’autre intéresse le droit substantiel — l’issue recherchée — et la question de savoir s’ils obtiendront une réparation juste et adéquate si le bien</w:t>
      </w:r>
      <w:r w:rsidRPr="00F52D1E">
        <w:rPr>
          <w:lang w:val="fr-CA"/>
        </w:rPr>
        <w:noBreakHyphen/>
        <w:t xml:space="preserve">fondé des réclamations est établi. </w:t>
      </w:r>
    </w:p>
    <w:p w:rsidR="00CF3116" w:rsidRPr="00F52D1E" w:rsidRDefault="00CF3116" w:rsidP="00CF3116">
      <w:pPr>
        <w:pStyle w:val="Citation-AltC"/>
        <w:rPr>
          <w:lang w:val="fr-CA"/>
        </w:rPr>
      </w:pPr>
    </w:p>
    <w:p w:rsidR="00CF3116" w:rsidRPr="00F52D1E" w:rsidRDefault="00CF3116" w:rsidP="007901BC">
      <w:pPr>
        <w:pStyle w:val="Citation-AltC"/>
        <w:ind w:left="0"/>
        <w:rPr>
          <w:lang w:val="fr-CA"/>
        </w:rPr>
      </w:pPr>
      <w:r w:rsidRPr="00F52D1E">
        <w:rPr>
          <w:lang w:val="fr-CA"/>
        </w:rPr>
        <w:t>(</w:t>
      </w:r>
      <w:r w:rsidRPr="00F52D1E">
        <w:rPr>
          <w:i/>
          <w:iCs/>
          <w:lang w:val="fr-CA"/>
        </w:rPr>
        <w:t>AIC Limitée c. Fischer</w:t>
      </w:r>
      <w:r w:rsidRPr="00F52D1E">
        <w:rPr>
          <w:lang w:val="fr-CA"/>
        </w:rPr>
        <w:t>,</w:t>
      </w:r>
      <w:r w:rsidRPr="00F52D1E">
        <w:rPr>
          <w:i/>
          <w:iCs/>
          <w:lang w:val="fr-CA"/>
        </w:rPr>
        <w:t> </w:t>
      </w:r>
      <w:r w:rsidRPr="00F52D1E">
        <w:rPr>
          <w:lang w:val="fr-CA"/>
        </w:rPr>
        <w:t>2013 CSC 69, [2013] 3 R.C.S. 949, par. 24)</w:t>
      </w:r>
    </w:p>
    <w:p w:rsidR="00CF3116" w:rsidRPr="007F5847" w:rsidRDefault="00CF3116" w:rsidP="00CF3116">
      <w:pPr>
        <w:pStyle w:val="ParaNoNdepar-AltN"/>
        <w:rPr>
          <w:rFonts w:cs="Times New Roman"/>
          <w:lang w:val="fr-CA"/>
        </w:rPr>
      </w:pPr>
      <w:r w:rsidRPr="00F52D1E">
        <w:rPr>
          <w:rFonts w:cs="Times New Roman"/>
          <w:lang w:val="fr-CA"/>
        </w:rPr>
        <w:t>De même, l’honorable Frank Iacobucci, dans un écrit extrajudiciaire, a décrit ces deux dimensions comme exigeant, premièrement, que les demandeurs aient l’occasion de faire valoir leurs réclamations en cour et, deuxièmement, qu’ils soient en mesure d’obtenir [</w:t>
      </w:r>
      <w:r w:rsidRPr="00F52D1E">
        <w:rPr>
          <w:rFonts w:cs="Times New Roman"/>
          <w:smallCaps/>
          <w:lang w:val="fr-CA"/>
        </w:rPr>
        <w:t>traduction</w:t>
      </w:r>
      <w:r w:rsidRPr="00F52D1E">
        <w:rPr>
          <w:rFonts w:cs="Times New Roman"/>
          <w:lang w:val="fr-CA"/>
        </w:rPr>
        <w:t>] « une réparation satisfaisante » : F. Iacobucci, « What is Access to Justice in the Context of Class Actions? », dans J. Kalajdzic, ed.</w:t>
      </w:r>
      <w:r w:rsidR="007F5847">
        <w:rPr>
          <w:rFonts w:cs="Times New Roman"/>
          <w:lang w:val="fr-CA"/>
        </w:rPr>
        <w:t>,</w:t>
      </w:r>
      <w:r w:rsidRPr="00F52D1E">
        <w:rPr>
          <w:rFonts w:cs="Times New Roman"/>
          <w:lang w:val="fr-CA"/>
        </w:rPr>
        <w:t xml:space="preserve"> </w:t>
      </w:r>
      <w:r w:rsidRPr="007F5847">
        <w:rPr>
          <w:rFonts w:cs="Times New Roman"/>
          <w:i/>
          <w:lang w:val="fr-CA"/>
        </w:rPr>
        <w:t>Accessing Justice: Appraising Class Actions Ten Years After Dutton, Hollick &amp; Rumley</w:t>
      </w:r>
      <w:r w:rsidRPr="007F5847">
        <w:rPr>
          <w:rFonts w:cs="Times New Roman"/>
          <w:lang w:val="fr-CA"/>
        </w:rPr>
        <w:t xml:space="preserve"> (2011), 17, p. 20.</w:t>
      </w:r>
    </w:p>
    <w:p w:rsidR="00CF3116" w:rsidRPr="00F52D1E" w:rsidRDefault="00CF3116" w:rsidP="00CF3116">
      <w:pPr>
        <w:pStyle w:val="ParaNoNdepar-AltN"/>
        <w:rPr>
          <w:rFonts w:cs="Times New Roman"/>
          <w:lang w:val="fr-CA"/>
        </w:rPr>
      </w:pPr>
      <w:r w:rsidRPr="00F52D1E">
        <w:rPr>
          <w:rFonts w:cs="Times New Roman"/>
          <w:lang w:val="fr-CA"/>
        </w:rPr>
        <w:t xml:space="preserve">Cet accent mis sur la dimension de fond de l’accès à la justice — soit la réparation — est crucial en l’espèce. Comme l’a expliqué le professeur Macdonald, l’accès à la justice comporte un grand nombre de caractéristiques : « (1) des résultats justes, (2) un traitement équitable, (3) des coûts raisonnables, (4) des délais raisonnables, (5) la compréhensibilité du système du point de vue des utilisateurs, (6) une sensibilité aux besoins de ces derniers, (7) la prévisibilité des résultats, et (8) </w:t>
      </w:r>
      <w:r w:rsidRPr="00F52D1E">
        <w:rPr>
          <w:rFonts w:cs="Times New Roman"/>
          <w:lang w:val="fr-CA"/>
        </w:rPr>
        <w:lastRenderedPageBreak/>
        <w:t xml:space="preserve">l’efficacité, la bonne organisation et un financement adéquat du système » : </w:t>
      </w:r>
      <w:r w:rsidRPr="00F52D1E">
        <w:rPr>
          <w:rFonts w:cs="Times New Roman"/>
          <w:lang w:val="fr-CA" w:bidi="en-US"/>
        </w:rPr>
        <w:t xml:space="preserve">R. A. Macdonald, « L’accès à la justice aujourd’hui au Canada — étendue, envergure et ambition », dans J. Bass, W. A. Bogart et F. H. Zemans, éd., </w:t>
      </w:r>
      <w:r w:rsidRPr="00F52D1E">
        <w:rPr>
          <w:rFonts w:cs="Times New Roman"/>
          <w:i/>
          <w:lang w:val="fr-CA" w:bidi="en-US"/>
        </w:rPr>
        <w:t>L’accès à la justice pour le nouveau siècle — les voies du progrès</w:t>
      </w:r>
      <w:r w:rsidRPr="00F52D1E">
        <w:rPr>
          <w:rFonts w:cs="Times New Roman"/>
          <w:lang w:val="fr-CA" w:bidi="en-US"/>
        </w:rPr>
        <w:t xml:space="preserve"> (2005), 19, p. 23</w:t>
      </w:r>
      <w:r w:rsidRPr="00F52D1E">
        <w:rPr>
          <w:rFonts w:cs="Times New Roman"/>
          <w:lang w:val="fr-CA" w:bidi="en-US"/>
        </w:rPr>
        <w:noBreakHyphen/>
        <w:t xml:space="preserve">24. Les quatre dernières caractéristiques figurant dans cette liste sont particulièrement pertinentes : en effet, si l’ordonnance n’a qu’un effet incertain, qui porte à confusion, ou qui s’avère plus restreint que prévu, elle ne constitue par le </w:t>
      </w:r>
      <w:r w:rsidRPr="00F52D1E">
        <w:rPr>
          <w:rFonts w:cs="Times New Roman"/>
          <w:i/>
          <w:lang w:val="fr-CA" w:bidi="en-US"/>
        </w:rPr>
        <w:t>triomphe</w:t>
      </w:r>
      <w:r w:rsidRPr="00F52D1E">
        <w:rPr>
          <w:rFonts w:cs="Times New Roman"/>
          <w:lang w:val="fr-CA" w:bidi="en-US"/>
        </w:rPr>
        <w:t xml:space="preserve"> que proclament le PGC et nos collègues, mais plutôt l’</w:t>
      </w:r>
      <w:r w:rsidRPr="00F52D1E">
        <w:rPr>
          <w:rFonts w:cs="Times New Roman"/>
          <w:i/>
          <w:lang w:val="fr-CA" w:bidi="en-US"/>
        </w:rPr>
        <w:t>échec</w:t>
      </w:r>
      <w:r w:rsidRPr="00F52D1E">
        <w:rPr>
          <w:rFonts w:cs="Times New Roman"/>
          <w:lang w:val="fr-CA" w:bidi="en-US"/>
        </w:rPr>
        <w:t xml:space="preserve"> de notre système à promouvoir l’accès à la justice.</w:t>
      </w:r>
    </w:p>
    <w:p w:rsidR="00CF3116" w:rsidRPr="00F52D1E" w:rsidRDefault="00CF3116" w:rsidP="00CF3116">
      <w:pPr>
        <w:pStyle w:val="ParaNoNdepar-AltN"/>
        <w:rPr>
          <w:rFonts w:cs="Times New Roman"/>
          <w:lang w:val="fr-CA"/>
        </w:rPr>
      </w:pPr>
      <w:r w:rsidRPr="00F52D1E">
        <w:rPr>
          <w:rFonts w:cs="Times New Roman"/>
          <w:lang w:val="fr-CA"/>
        </w:rPr>
        <w:t xml:space="preserve">Cette incertitude et ce manque de clarté sont particulièrement préoccupants lorsque les peuples autochtones sont parties prenantes, étant donné « l’ombre d’une longue histoire parsemée de griefs et d’incompréhension » qui caractérise le processus de réconciliation : </w:t>
      </w:r>
      <w:r w:rsidRPr="00F52D1E">
        <w:rPr>
          <w:rFonts w:cs="Times New Roman"/>
          <w:i/>
          <w:lang w:val="fr-CA"/>
        </w:rPr>
        <w:t>Première nation crie</w:t>
      </w:r>
      <w:r w:rsidRPr="00F52D1E">
        <w:rPr>
          <w:rFonts w:cs="Times New Roman"/>
          <w:lang w:val="fr-CA"/>
        </w:rPr>
        <w:t xml:space="preserve"> </w:t>
      </w:r>
      <w:r w:rsidRPr="00F52D1E">
        <w:rPr>
          <w:rFonts w:cs="Times New Roman"/>
          <w:i/>
          <w:lang w:val="fr-CA"/>
        </w:rPr>
        <w:t>Mikisew c. Canada (Ministre du Patrimoine canadien)</w:t>
      </w:r>
      <w:r w:rsidRPr="00F52D1E">
        <w:rPr>
          <w:rFonts w:cs="Times New Roman"/>
          <w:lang w:val="fr-CA"/>
        </w:rPr>
        <w:t>, 2005 CSC 69, [2005] 3 R.C.S. 388, par. 1. Comme nous l’avons expliqué, si une cour prononçait un jugement déclaratoire reconnaissant l’existence d’un titre ancestral, mais que celui</w:t>
      </w:r>
      <w:r w:rsidRPr="00F52D1E">
        <w:rPr>
          <w:rFonts w:cs="Times New Roman"/>
          <w:lang w:val="fr-CA"/>
        </w:rPr>
        <w:noBreakHyphen/>
        <w:t>ci n’avait pas l’effet espéré ou l’effet qui semblait lui avoir été donné, cela minerait la légitimité et l’efficacité des cours et donnerait aux demandeurs autochtones l’impression qu’ils ne peuvent pas se fier aux cours pour résoudre leurs récl</w:t>
      </w:r>
      <w:r w:rsidR="000D363E">
        <w:rPr>
          <w:rFonts w:cs="Times New Roman"/>
          <w:lang w:val="fr-CA"/>
        </w:rPr>
        <w:t>amations fondées sur l’art. 35.</w:t>
      </w:r>
    </w:p>
    <w:p w:rsidR="00CF3116" w:rsidRPr="00F52D1E" w:rsidRDefault="00CF3116" w:rsidP="00CF3116">
      <w:pPr>
        <w:pStyle w:val="ParaNoNdepar-AltN"/>
        <w:rPr>
          <w:rFonts w:cs="Times New Roman"/>
          <w:lang w:val="fr-CA"/>
        </w:rPr>
      </w:pPr>
      <w:r w:rsidRPr="00F52D1E">
        <w:rPr>
          <w:rFonts w:cs="Times New Roman"/>
          <w:lang w:val="fr-CA"/>
        </w:rPr>
        <w:t xml:space="preserve">Nous partageons les préoccupations de nos collègues quant au « fractionnement [des] action[s] » (par. 45) et quant au risque de se retrouver avec des décisions incompatibles. Cela dit, il s’agirait du résultat de </w:t>
      </w:r>
      <w:r w:rsidRPr="00F52D1E">
        <w:rPr>
          <w:rFonts w:cs="Times New Roman"/>
          <w:i/>
          <w:lang w:val="fr-CA"/>
        </w:rPr>
        <w:t xml:space="preserve">leur </w:t>
      </w:r>
      <w:r w:rsidRPr="00F52D1E">
        <w:rPr>
          <w:rFonts w:cs="Times New Roman"/>
          <w:lang w:val="fr-CA"/>
        </w:rPr>
        <w:t>approche, puisque tout « jugement déclaratoire à portée limitée » reconnaissant l’existence d’un titre ancestral — même si une telle chose était possible — n’aurait aucun effet au</w:t>
      </w:r>
      <w:r w:rsidRPr="00F52D1E">
        <w:rPr>
          <w:rFonts w:cs="Times New Roman"/>
          <w:lang w:val="fr-CA"/>
        </w:rPr>
        <w:noBreakHyphen/>
        <w:t xml:space="preserve">delà de la présente </w:t>
      </w:r>
      <w:r w:rsidRPr="00F52D1E">
        <w:rPr>
          <w:rFonts w:cs="Times New Roman"/>
          <w:lang w:val="fr-CA"/>
        </w:rPr>
        <w:lastRenderedPageBreak/>
        <w:t>poursuite, nota</w:t>
      </w:r>
      <w:r w:rsidR="00E51CCA">
        <w:rPr>
          <w:rFonts w:cs="Times New Roman"/>
          <w:lang w:val="fr-CA"/>
        </w:rPr>
        <w:t>mment contre la Couronne</w:t>
      </w:r>
      <w:r w:rsidRPr="00F52D1E">
        <w:rPr>
          <w:rFonts w:cs="Times New Roman"/>
          <w:lang w:val="fr-CA"/>
        </w:rPr>
        <w:t xml:space="preserve">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et ne lierait pas une cour de cette province. Cela mènerait à une totale incertitude et à un risque important de se retrouver avec des jugements incompatibles, l’effet contraire à l’orientation donnée par la Cour selon laquelle il est nécessaire de procéder à un « virage culturel » pour tendre vers des « procédures proportionnées » : </w:t>
      </w:r>
      <w:r w:rsidRPr="00F52D1E">
        <w:rPr>
          <w:rFonts w:cs="Times New Roman"/>
          <w:i/>
          <w:lang w:val="fr-CA"/>
        </w:rPr>
        <w:t>Hryniak</w:t>
      </w:r>
      <w:r w:rsidRPr="00F52D1E">
        <w:rPr>
          <w:rFonts w:cs="Times New Roman"/>
          <w:lang w:val="fr-CA"/>
        </w:rPr>
        <w:t>, par. 2. L’approche préconisée par le PGC peut sembler simple et efficace, mais ses conséquences inévitables illustrent qu’elle entraînera inévitablement de la confusion et une multiplication des litiges. Notre approche fait échec à ces préoccupations en traitant d’emblée de la question cruciale de la compétence des tribun</w:t>
      </w:r>
      <w:r w:rsidR="000D363E">
        <w:rPr>
          <w:rFonts w:cs="Times New Roman"/>
          <w:lang w:val="fr-CA"/>
        </w:rPr>
        <w:t>aux.</w:t>
      </w:r>
    </w:p>
    <w:p w:rsidR="00CF3116" w:rsidRPr="00F52D1E" w:rsidRDefault="00CF3116" w:rsidP="00CF3116">
      <w:pPr>
        <w:pStyle w:val="ParaNoNdepar-AltN"/>
        <w:rPr>
          <w:rFonts w:cs="Times New Roman"/>
          <w:lang w:val="fr-CA"/>
        </w:rPr>
      </w:pPr>
      <w:r w:rsidRPr="00F52D1E">
        <w:rPr>
          <w:rFonts w:cs="Times New Roman"/>
          <w:lang w:val="fr-CA"/>
        </w:rPr>
        <w:t>De surcroît, nous estimons qu’une décision d’une cour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Labrador qui en arriverait à une conclusion différente de celle d’une cour du Québec quant à l’existence d’un titre ancestral ne serait pas nécessairement « incompatible » avec elle, à condition que leurs conclusions respectives ne concernent qu’un territoire entièrement situé dans leur propre province. Par exemple, une cour de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Labrador pourrait conclure qu’un titre a été établi sur une portion du Nitassinan dans le Labrador, et une cour du Québec conclure que les Innus n’ont pas fait la preuve qu’ils détiennent un titre sur la portion de ce territoire qui se trouve au Québec. Comme l’a souligné le PGTNL, un titre ancestral est lié à un territoire en particulier et, pour en reconnaître l’existence, il faut notamment prouver l’occupation continue des lieux : </w:t>
      </w:r>
      <w:r w:rsidRPr="00F52D1E">
        <w:rPr>
          <w:rFonts w:cs="Times New Roman"/>
          <w:i/>
          <w:lang w:val="fr-CA"/>
        </w:rPr>
        <w:t>Delgamuukw</w:t>
      </w:r>
      <w:r w:rsidRPr="00F52D1E">
        <w:rPr>
          <w:rFonts w:cs="Times New Roman"/>
          <w:lang w:val="fr-CA"/>
        </w:rPr>
        <w:t>, par. 143;</w:t>
      </w:r>
      <w:r w:rsidRPr="00F52D1E">
        <w:rPr>
          <w:rFonts w:cs="Times New Roman"/>
          <w:i/>
          <w:lang w:val="fr-CA"/>
        </w:rPr>
        <w:t xml:space="preserve"> Nation Tsilhqot’in</w:t>
      </w:r>
      <w:r w:rsidRPr="00F52D1E">
        <w:rPr>
          <w:rFonts w:cs="Times New Roman"/>
          <w:lang w:val="fr-CA"/>
        </w:rPr>
        <w:t xml:space="preserve">, par. 25. Il serait donc possible que des conclusions </w:t>
      </w:r>
      <w:r w:rsidRPr="00F52D1E">
        <w:rPr>
          <w:rFonts w:cs="Times New Roman"/>
          <w:i/>
          <w:lang w:val="fr-CA"/>
        </w:rPr>
        <w:t xml:space="preserve">diffèrent </w:t>
      </w:r>
      <w:r w:rsidRPr="00F52D1E">
        <w:rPr>
          <w:rFonts w:cs="Times New Roman"/>
          <w:lang w:val="fr-CA"/>
        </w:rPr>
        <w:t xml:space="preserve">(sans être </w:t>
      </w:r>
      <w:r w:rsidRPr="00F52D1E">
        <w:rPr>
          <w:rFonts w:cs="Times New Roman"/>
          <w:i/>
          <w:lang w:val="fr-CA"/>
        </w:rPr>
        <w:t>incompatibles</w:t>
      </w:r>
      <w:r w:rsidRPr="00F52D1E">
        <w:rPr>
          <w:rFonts w:cs="Times New Roman"/>
          <w:lang w:val="fr-CA"/>
        </w:rPr>
        <w:t>) en ce qui a trait à différentes portions du territoire du Nitassinan suivant la preuve présentée. Cela ne constituerait pas un déni d’accès à la justice, mais illustrerait plutôt l’exigence de prouver l’existence d’un titre ancestral.</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Bien que des résultats différents au Québec et au Labrador ne </w:t>
      </w:r>
      <w:proofErr w:type="gramStart"/>
      <w:r w:rsidRPr="00F52D1E">
        <w:rPr>
          <w:rFonts w:cs="Times New Roman"/>
          <w:lang w:val="fr-CA"/>
        </w:rPr>
        <w:t>seraient</w:t>
      </w:r>
      <w:proofErr w:type="gramEnd"/>
      <w:r w:rsidRPr="00F52D1E">
        <w:rPr>
          <w:rFonts w:cs="Times New Roman"/>
          <w:lang w:val="fr-CA"/>
        </w:rPr>
        <w:t xml:space="preserve"> pas nécessairement incompatibles, des poursuites individuelles </w:t>
      </w:r>
      <w:r w:rsidRPr="00F52D1E">
        <w:rPr>
          <w:rFonts w:cs="Times New Roman"/>
          <w:i/>
          <w:lang w:val="fr-CA"/>
        </w:rPr>
        <w:t>in personam</w:t>
      </w:r>
      <w:r w:rsidRPr="00F52D1E">
        <w:rPr>
          <w:rFonts w:cs="Times New Roman"/>
          <w:lang w:val="fr-CA"/>
        </w:rPr>
        <w:t xml:space="preserve"> contre des propriétaires fonciers privés donneraient probablement des résultats inconciliables avec toute conception de l’utilisation historique des terres. Chaque parcelle de terre pourrait faire l’objet d’un résultat différent, certaines maisons d’un quartier se retrouvant assujetties au titre ancestral d’un groupe autochtone, d’autres maisons au titre ancestral d’un autre groupe, et d’autres encore à aucun titre ancestral. La courtepointe qui en résulterait pourrait laisser les groupes autochtones sans territoire contigu. Plutôt que d’être modelées par une compréhension des preuves d’une occupation antérieure, les limites du territoire autochtone seraient définies par les parcelles de terre qui étaient détenues par les tiers défendeurs dans chaque procès et par les conditions de l’autorité de la chose jugée. Il est difficile de voir en quoi ce résultat est souhaitable, que ce soit du point de vue des autochtones ou des non</w:t>
      </w:r>
      <w:r w:rsidRPr="00F52D1E">
        <w:rPr>
          <w:rFonts w:cs="Times New Roman"/>
          <w:lang w:val="fr-CA"/>
        </w:rPr>
        <w:noBreakHyphen/>
        <w:t xml:space="preserve">autochtones. </w:t>
      </w:r>
    </w:p>
    <w:p w:rsidR="00CF3116" w:rsidRPr="00F52D1E" w:rsidRDefault="00CF3116" w:rsidP="00CF3116">
      <w:pPr>
        <w:pStyle w:val="ParaNoNdepar-AltN"/>
        <w:rPr>
          <w:rFonts w:cs="Times New Roman"/>
          <w:lang w:val="fr-CA"/>
        </w:rPr>
      </w:pPr>
      <w:r w:rsidRPr="00F52D1E">
        <w:rPr>
          <w:rFonts w:cs="Times New Roman"/>
          <w:lang w:val="fr-CA"/>
        </w:rPr>
        <w:t xml:space="preserve">Qui plus est, et aussi louable que soit l’objectif de nos collègues de simplifier les procédures, les cours ne peuvent ni ne devraient faire fi du fédéralisme ou des frontières provinciales. Il vaut la peine de répéter que la réconciliation doit concilier </w:t>
      </w:r>
      <w:r w:rsidRPr="00F52D1E">
        <w:rPr>
          <w:rFonts w:cs="Times New Roman"/>
          <w:i/>
          <w:lang w:val="fr-CA"/>
        </w:rPr>
        <w:t>à la fois</w:t>
      </w:r>
      <w:r w:rsidRPr="00F52D1E">
        <w:rPr>
          <w:rFonts w:cs="Times New Roman"/>
          <w:lang w:val="fr-CA"/>
        </w:rPr>
        <w:t xml:space="preserve"> l’occupation antérieure par les autochtones </w:t>
      </w:r>
      <w:r w:rsidRPr="00F52D1E">
        <w:rPr>
          <w:rFonts w:cs="Times New Roman"/>
          <w:i/>
          <w:lang w:val="fr-CA"/>
        </w:rPr>
        <w:t>et</w:t>
      </w:r>
      <w:r w:rsidRPr="00F52D1E">
        <w:rPr>
          <w:rFonts w:cs="Times New Roman"/>
          <w:lang w:val="fr-CA"/>
        </w:rPr>
        <w:t xml:space="preserve"> la souveraineté de la Couronne. </w:t>
      </w:r>
    </w:p>
    <w:p w:rsidR="00CF3116" w:rsidRPr="00F52D1E" w:rsidRDefault="00CF3116" w:rsidP="00CF3116">
      <w:pPr>
        <w:pStyle w:val="ParaNoNdepar-AltN"/>
        <w:rPr>
          <w:rFonts w:cs="Times New Roman"/>
          <w:lang w:val="fr-CA"/>
        </w:rPr>
      </w:pPr>
      <w:r w:rsidRPr="00F52D1E">
        <w:rPr>
          <w:rFonts w:cs="Times New Roman"/>
          <w:lang w:val="fr-CA"/>
        </w:rPr>
        <w:t>En dernier lieu au sujet de l’accès à la justice, nous observons que nos collègues n’ont pas traité de la solution que nous proposons que des audiences conjointes soient tenues, sauf peut</w:t>
      </w:r>
      <w:r w:rsidRPr="00F52D1E">
        <w:rPr>
          <w:rFonts w:cs="Times New Roman"/>
          <w:lang w:val="fr-CA"/>
        </w:rPr>
        <w:noBreakHyphen/>
        <w:t>être au passage, lorsqu’ils affirment qu’on ne devrait pas forcer les Innus à « scinder » leur réclamation : par. 52. Nous reconnaissons que notre solution requiert d’intenter un recours à Terre</w:t>
      </w:r>
      <w:r w:rsidRPr="00F52D1E">
        <w:rPr>
          <w:rFonts w:cs="Times New Roman"/>
          <w:lang w:val="fr-CA"/>
        </w:rPr>
        <w:noBreakHyphen/>
        <w:t>Neuve</w:t>
      </w:r>
      <w:r w:rsidRPr="00F52D1E">
        <w:rPr>
          <w:rFonts w:cs="Times New Roman"/>
          <w:lang w:val="fr-CA"/>
        </w:rPr>
        <w:noBreakHyphen/>
        <w:t>et</w:t>
      </w:r>
      <w:r w:rsidRPr="00F52D1E">
        <w:rPr>
          <w:rFonts w:cs="Times New Roman"/>
          <w:lang w:val="fr-CA"/>
        </w:rPr>
        <w:noBreakHyphen/>
        <w:t xml:space="preserve">Labador. Cependant, </w:t>
      </w:r>
      <w:r w:rsidRPr="00F52D1E">
        <w:rPr>
          <w:rFonts w:cs="Times New Roman"/>
          <w:lang w:val="fr-CA"/>
        </w:rPr>
        <w:lastRenderedPageBreak/>
        <w:t xml:space="preserve">comme nous l’expliquons clairement dans nos motifs, l’utilisation d’une approche de style </w:t>
      </w:r>
      <w:r w:rsidRPr="00F52D1E">
        <w:rPr>
          <w:rFonts w:cs="Times New Roman"/>
          <w:i/>
          <w:lang w:val="fr-CA"/>
        </w:rPr>
        <w:t>Endean</w:t>
      </w:r>
      <w:r w:rsidRPr="00F52D1E">
        <w:rPr>
          <w:rFonts w:cs="Times New Roman"/>
          <w:lang w:val="fr-CA"/>
        </w:rPr>
        <w:t xml:space="preserve"> signifie que la plus grande partie des audiences pourraient se dérouler conjointement et de manière à minimiser autant que possible les inconvénients et les coûts. Soit dit en tout respect, exiger qu’une réclamation soit présentée dans le respect de notre structure constitutionnelle tout en faisant tous les efforts possibles pour consolider les procédures ne revient pas à « scinder » la réclamation en question. De fait, le verbe « scinder » décrit mieux l’approche de nos collègues qui se traduirait par des jugements déclaratoires dont la portée et le sens seraient incertains et entraîneraient fort probablement d’autres litiges.</w:t>
      </w:r>
    </w:p>
    <w:p w:rsidR="00CF3116" w:rsidRPr="00F52D1E" w:rsidRDefault="00CF3116" w:rsidP="00CF3116">
      <w:pPr>
        <w:pStyle w:val="Title3LevelTitre3Niveau"/>
        <w:tabs>
          <w:tab w:val="clear" w:pos="1152"/>
        </w:tabs>
        <w:ind w:left="1530"/>
        <w:jc w:val="both"/>
        <w:rPr>
          <w:rFonts w:cs="Times New Roman"/>
          <w:lang w:val="fr-CA"/>
        </w:rPr>
      </w:pPr>
      <w:bookmarkStart w:id="139" w:name="_Toc33007313"/>
      <w:bookmarkStart w:id="140" w:name="_Toc29195628"/>
      <w:r w:rsidRPr="00F52D1E">
        <w:rPr>
          <w:rFonts w:cs="Times New Roman"/>
          <w:lang w:val="fr-CA"/>
        </w:rPr>
        <w:t>Approche préconisée par le PGC : source potentielle de problèmes sérieux dans la présente affaire</w:t>
      </w:r>
      <w:bookmarkEnd w:id="139"/>
      <w:r w:rsidRPr="00F52D1E">
        <w:rPr>
          <w:rFonts w:cs="Times New Roman"/>
          <w:lang w:val="fr-CA"/>
        </w:rPr>
        <w:t xml:space="preserve"> </w:t>
      </w:r>
      <w:bookmarkEnd w:id="140"/>
    </w:p>
    <w:p w:rsidR="00CF3116" w:rsidRPr="00F52D1E" w:rsidRDefault="00CF3116" w:rsidP="00CF3116">
      <w:pPr>
        <w:pStyle w:val="ParaNoNdepar-AltN"/>
        <w:rPr>
          <w:rFonts w:cs="Times New Roman"/>
          <w:lang w:val="fr-CA"/>
        </w:rPr>
      </w:pPr>
      <w:r w:rsidRPr="00F52D1E">
        <w:rPr>
          <w:rFonts w:cs="Times New Roman"/>
          <w:lang w:val="fr-CA"/>
        </w:rPr>
        <w:t>Les problèmes sérieux que créerait l’approche proposée par le PGC ne sont ni théoriques ni éloignés. En fait, ils se posent même clairement dans le contexte de la présente affaire.</w:t>
      </w:r>
    </w:p>
    <w:p w:rsidR="00CF3116" w:rsidRPr="00F52D1E" w:rsidRDefault="00CF3116" w:rsidP="00CF3116">
      <w:pPr>
        <w:pStyle w:val="Title4LevelTitre4Niveau"/>
        <w:tabs>
          <w:tab w:val="clear" w:pos="1152"/>
        </w:tabs>
        <w:ind w:left="1620" w:hanging="630"/>
        <w:jc w:val="both"/>
        <w:rPr>
          <w:rFonts w:cs="Times New Roman"/>
          <w:lang w:val="fr-CA"/>
        </w:rPr>
      </w:pPr>
      <w:r w:rsidRPr="00F52D1E">
        <w:rPr>
          <w:rFonts w:cs="Times New Roman"/>
          <w:lang w:val="fr-CA"/>
        </w:rPr>
        <w:t>Revendications de tiers sur le territoire en cause</w:t>
      </w:r>
    </w:p>
    <w:p w:rsidR="00CF3116" w:rsidRPr="00F52D1E" w:rsidRDefault="00CF3116" w:rsidP="00CF3116">
      <w:pPr>
        <w:pStyle w:val="ParaNoNdepar-AltN"/>
        <w:rPr>
          <w:rFonts w:cs="Times New Roman"/>
          <w:lang w:val="fr-CA"/>
        </w:rPr>
      </w:pPr>
      <w:r w:rsidRPr="00F52D1E">
        <w:rPr>
          <w:rFonts w:cs="Times New Roman"/>
          <w:lang w:val="fr-CA"/>
        </w:rPr>
        <w:t xml:space="preserve">Les demandeurs sollicitent un jugement déclaratoire reconnaissant l’existence d’un titre et de droits ancestraux sur une portion importante du Labrador : </w:t>
      </w:r>
      <w:proofErr w:type="gramStart"/>
      <w:r w:rsidRPr="00F52D1E">
        <w:rPr>
          <w:rFonts w:cs="Times New Roman"/>
          <w:lang w:val="fr-CA"/>
        </w:rPr>
        <w:t>d.a.,</w:t>
      </w:r>
      <w:proofErr w:type="gramEnd"/>
      <w:r w:rsidRPr="00F52D1E">
        <w:rPr>
          <w:rFonts w:cs="Times New Roman"/>
          <w:lang w:val="fr-CA"/>
        </w:rPr>
        <w:t xml:space="preserve"> vol. II, p. 188</w:t>
      </w:r>
      <w:r w:rsidRPr="00F52D1E">
        <w:rPr>
          <w:rFonts w:cs="Times New Roman"/>
          <w:lang w:val="fr-CA"/>
        </w:rPr>
        <w:noBreakHyphen/>
        <w:t>189. La majorité de ce territoire est occupé par des tiers non</w:t>
      </w:r>
      <w:r w:rsidRPr="00F52D1E">
        <w:rPr>
          <w:rFonts w:cs="Times New Roman"/>
          <w:lang w:val="fr-CA"/>
        </w:rPr>
        <w:noBreakHyphen/>
        <w:t>autochtones — y compris des résidents et des entreprises installées dans les communautés de Labrador City, Wabush et Churchill Falls —, ainsi que par la compagnie Churchill Falls (Labrador) Corporation Limited, Nalcor Energy et les exploitants de la mine de Wabush.</w:t>
      </w:r>
    </w:p>
    <w:p w:rsidR="00CF3116" w:rsidRPr="00F52D1E" w:rsidRDefault="00CF3116" w:rsidP="00CF3116">
      <w:pPr>
        <w:pStyle w:val="ParaNoNdepar-AltN"/>
        <w:rPr>
          <w:rFonts w:cs="Times New Roman"/>
          <w:lang w:val="fr-CA"/>
        </w:rPr>
      </w:pPr>
      <w:r w:rsidRPr="00F52D1E">
        <w:rPr>
          <w:rFonts w:cs="Times New Roman"/>
          <w:lang w:val="fr-CA"/>
        </w:rPr>
        <w:lastRenderedPageBreak/>
        <w:t xml:space="preserve">L’interaction entre les revendications de titres autochtones et les droits fonciers de tiers n’est toujours pas réglée : voir, par exemple, </w:t>
      </w:r>
      <w:r w:rsidRPr="00F52D1E">
        <w:rPr>
          <w:rFonts w:cs="Times New Roman"/>
          <w:i/>
          <w:lang w:val="fr-CA"/>
        </w:rPr>
        <w:t>Conseil de la nation</w:t>
      </w:r>
      <w:r w:rsidRPr="00F52D1E">
        <w:rPr>
          <w:rFonts w:cs="Times New Roman"/>
          <w:lang w:val="fr-CA"/>
        </w:rPr>
        <w:t xml:space="preserve"> </w:t>
      </w:r>
      <w:r w:rsidRPr="00F52D1E">
        <w:rPr>
          <w:rFonts w:cs="Times New Roman"/>
          <w:i/>
          <w:lang w:val="fr-CA"/>
        </w:rPr>
        <w:t>Haida</w:t>
      </w:r>
      <w:r w:rsidRPr="00F52D1E">
        <w:rPr>
          <w:rFonts w:cs="Times New Roman"/>
          <w:lang w:val="fr-CA"/>
        </w:rPr>
        <w:t xml:space="preserve">; </w:t>
      </w:r>
      <w:r w:rsidRPr="00F52D1E">
        <w:rPr>
          <w:rFonts w:cs="Times New Roman"/>
          <w:i/>
          <w:lang w:val="fr-CA"/>
        </w:rPr>
        <w:t>Chippewas of Sarnia Band c. Canada (Attorney General)</w:t>
      </w:r>
      <w:r w:rsidRPr="00F52D1E">
        <w:rPr>
          <w:rFonts w:cs="Times New Roman"/>
          <w:lang w:val="fr-CA"/>
        </w:rPr>
        <w:t xml:space="preserve"> (2000), 51 O.R. (3d) 641 (C.A.); K. McNeil, « Reconciliation and Third</w:t>
      </w:r>
      <w:r w:rsidRPr="00F52D1E">
        <w:rPr>
          <w:rFonts w:cs="Times New Roman"/>
          <w:lang w:val="fr-CA"/>
        </w:rPr>
        <w:noBreakHyphen/>
        <w:t xml:space="preserve">Party Interests: </w:t>
      </w:r>
      <w:r w:rsidRPr="00F52D1E">
        <w:rPr>
          <w:rFonts w:cs="Times New Roman"/>
          <w:i/>
          <w:lang w:val="fr-CA"/>
        </w:rPr>
        <w:t>Tsilhqot’in Nation v. British Columbia</w:t>
      </w:r>
      <w:r w:rsidRPr="00F52D1E">
        <w:rPr>
          <w:rFonts w:cs="Times New Roman"/>
          <w:lang w:val="fr-CA"/>
        </w:rPr>
        <w:t xml:space="preserve"> » (2010), 8 </w:t>
      </w:r>
      <w:r w:rsidRPr="00F52D1E">
        <w:rPr>
          <w:rFonts w:cs="Times New Roman"/>
          <w:i/>
          <w:lang w:val="fr-CA"/>
        </w:rPr>
        <w:t>Indigenous L.J.</w:t>
      </w:r>
      <w:r w:rsidRPr="00F52D1E">
        <w:rPr>
          <w:rFonts w:cs="Times New Roman"/>
          <w:lang w:val="fr-CA"/>
        </w:rPr>
        <w:t xml:space="preserve"> 7; R. Hamilton, « Private Property and Aboriginal Title: What is the Role of Equity in Mediating Conflicting Claims? » </w:t>
      </w:r>
      <w:r w:rsidRPr="00F52D1E">
        <w:rPr>
          <w:rFonts w:cs="Times New Roman"/>
          <w:lang w:val="en-US"/>
        </w:rPr>
        <w:t xml:space="preserve">(2018), 51 </w:t>
      </w:r>
      <w:r w:rsidRPr="00F52D1E">
        <w:rPr>
          <w:rFonts w:cs="Times New Roman"/>
          <w:i/>
          <w:lang w:val="en-US"/>
        </w:rPr>
        <w:t>U.B.C. L. Rev.</w:t>
      </w:r>
      <w:r w:rsidRPr="00F52D1E">
        <w:rPr>
          <w:rFonts w:cs="Times New Roman"/>
          <w:lang w:val="en-US"/>
        </w:rPr>
        <w:t xml:space="preserve"> 347; J. Borrows, « Aboriginal Title and Private Property » (2015), 71 </w:t>
      </w:r>
      <w:r w:rsidRPr="00F52D1E">
        <w:rPr>
          <w:rFonts w:cs="Times New Roman"/>
          <w:i/>
          <w:lang w:val="en-US"/>
        </w:rPr>
        <w:t>S.C.L.R.</w:t>
      </w:r>
      <w:r w:rsidRPr="00F52D1E">
        <w:rPr>
          <w:rFonts w:cs="Times New Roman"/>
          <w:lang w:val="en-US"/>
        </w:rPr>
        <w:t xml:space="preserve"> (2d) 91. </w:t>
      </w:r>
      <w:r w:rsidRPr="00F52D1E">
        <w:rPr>
          <w:rFonts w:cs="Times New Roman"/>
          <w:lang w:val="fr-CA"/>
        </w:rPr>
        <w:t>Clairement, aucun des tiers non</w:t>
      </w:r>
      <w:r w:rsidRPr="00F52D1E">
        <w:rPr>
          <w:rFonts w:cs="Times New Roman"/>
          <w:lang w:val="fr-CA"/>
        </w:rPr>
        <w:noBreakHyphen/>
        <w:t xml:space="preserve">autochtones n’est partie au présent litige; il faut donc tenir pour acquis qu’aucun d’entre eux ne sera lié par la réparation recherchée en l’espèce. Les Innus seront donc forcément aux prises avec les défis dont nous avons traité précédemment. </w:t>
      </w:r>
    </w:p>
    <w:p w:rsidR="00CF3116" w:rsidRPr="00F52D1E" w:rsidRDefault="00CF3116" w:rsidP="00CF3116">
      <w:pPr>
        <w:pStyle w:val="Title4LevelTitre4Niveau"/>
        <w:tabs>
          <w:tab w:val="clear" w:pos="1152"/>
        </w:tabs>
        <w:ind w:left="1620" w:hanging="630"/>
        <w:jc w:val="both"/>
        <w:rPr>
          <w:rFonts w:cs="Times New Roman"/>
        </w:rPr>
      </w:pPr>
      <w:r w:rsidRPr="00F52D1E">
        <w:rPr>
          <w:rFonts w:cs="Times New Roman"/>
        </w:rPr>
        <w:t>Autres revendications de titres autochtones</w:t>
      </w:r>
    </w:p>
    <w:p w:rsidR="00CF3116" w:rsidRPr="00F52D1E" w:rsidRDefault="00CF3116" w:rsidP="00CF3116">
      <w:pPr>
        <w:pStyle w:val="ParaNoNdepar-AltN"/>
        <w:rPr>
          <w:rFonts w:cs="Times New Roman"/>
          <w:lang w:val="fr-CA"/>
        </w:rPr>
      </w:pPr>
      <w:r w:rsidRPr="00F52D1E">
        <w:rPr>
          <w:rFonts w:cs="Times New Roman"/>
          <w:lang w:val="fr-CA"/>
        </w:rPr>
        <w:t>En plus de l’existence de revendications importantes de non</w:t>
      </w:r>
      <w:r w:rsidRPr="00F52D1E">
        <w:rPr>
          <w:rFonts w:cs="Times New Roman"/>
          <w:lang w:val="fr-CA"/>
        </w:rPr>
        <w:noBreakHyphen/>
        <w:t>autochtones, une partie du territoire relativement auquel les demandeurs sollicitent des jugements déclaratoires fait l’objet de revendications de droits ancestraux par au moins deux autres groupes autochtones. En effet, les Innus du Labrador ont négocié et approuvé une entente de principe qui comprend notamment une zone d’entente sur les répercussions et les avantages du développement économique majeur chevauchant une grande partie du territoire à l’égard duquel les demandeurs cherchent à obtenir une déclaration</w:t>
      </w:r>
      <w:r w:rsidRPr="001A308E">
        <w:rPr>
          <w:rStyle w:val="Hyperlink"/>
          <w:color w:val="auto"/>
          <w:u w:val="none"/>
          <w:vertAlign w:val="superscript"/>
        </w:rPr>
        <w:footnoteReference w:id="4"/>
      </w:r>
      <w:r w:rsidRPr="00F52D1E">
        <w:rPr>
          <w:rFonts w:cs="Times New Roman"/>
          <w:lang w:val="fr-CA"/>
        </w:rPr>
        <w:t xml:space="preserve">. En outre, le Conseil communautaire de Nunatukavut a signé un protocole </w:t>
      </w:r>
      <w:r w:rsidRPr="00F52D1E">
        <w:rPr>
          <w:rFonts w:cs="Times New Roman"/>
          <w:lang w:val="fr-CA"/>
        </w:rPr>
        <w:lastRenderedPageBreak/>
        <w:t>d’entente avec le Canada pour discuter de sa revendication de droits ancestraux</w:t>
      </w:r>
      <w:r w:rsidRPr="001A308E">
        <w:rPr>
          <w:rStyle w:val="Hyperlink"/>
          <w:color w:val="auto"/>
          <w:u w:val="none"/>
          <w:vertAlign w:val="superscript"/>
        </w:rPr>
        <w:footnoteReference w:id="5"/>
      </w:r>
      <w:r w:rsidRPr="00F52D1E">
        <w:rPr>
          <w:rFonts w:cs="Times New Roman"/>
          <w:lang w:val="fr-CA"/>
        </w:rPr>
        <w:t>. Or, cette revendication concerne un territoire que chevauche l’ensemble de celui situé au Labrador que revendiquent les demandeurs</w:t>
      </w:r>
      <w:r w:rsidRPr="001A308E">
        <w:rPr>
          <w:rStyle w:val="Hyperlink"/>
          <w:color w:val="auto"/>
          <w:u w:val="none"/>
          <w:vertAlign w:val="superscript"/>
        </w:rPr>
        <w:footnoteReference w:id="6"/>
      </w:r>
      <w:r w:rsidRPr="00F52D1E">
        <w:rPr>
          <w:rFonts w:cs="Times New Roman"/>
          <w:lang w:val="fr-CA"/>
        </w:rPr>
        <w:t>.</w:t>
      </w:r>
    </w:p>
    <w:p w:rsidR="00CF3116" w:rsidRPr="00F52D1E" w:rsidRDefault="00CF3116" w:rsidP="00CF3116">
      <w:pPr>
        <w:pStyle w:val="ParaNoNdepar-AltN"/>
        <w:rPr>
          <w:rFonts w:cs="Times New Roman"/>
          <w:lang w:val="fr-CA"/>
        </w:rPr>
      </w:pPr>
      <w:r w:rsidRPr="00F52D1E">
        <w:rPr>
          <w:rFonts w:cs="Times New Roman"/>
          <w:lang w:val="fr-CA"/>
        </w:rPr>
        <w:t xml:space="preserve">Dans le passé, la Cour a affirmé qu’il n’est pas souhaitable de conclure à l’existence de droits autochtones lorsque d’autres groupes autochtones touchés ne participent pas au débat. Dans </w:t>
      </w:r>
      <w:r w:rsidRPr="00F52D1E">
        <w:rPr>
          <w:rFonts w:cs="Times New Roman"/>
          <w:i/>
          <w:lang w:val="fr-CA"/>
        </w:rPr>
        <w:t>Delgamuukw</w:t>
      </w:r>
      <w:r w:rsidRPr="00F52D1E">
        <w:rPr>
          <w:rFonts w:cs="Times New Roman"/>
          <w:lang w:val="fr-CA"/>
        </w:rPr>
        <w:t xml:space="preserve">, le juge en chef Lamer a souligné que de nombreux autres groupes autochtones qui avaient des revendications territoriales chevauchant celles des appelants n’étaient intervenus ni dans l’appel ni dans le procès. Cette situation était « malheureuse parce que les décisions relatives au titre aborigène des [appelants] auront indubitablement un effet sur les revendications de ces autres nations autochtones, particulièrement en raison du fait que le titre aborigène comprend le droit </w:t>
      </w:r>
      <w:r w:rsidRPr="00F52D1E">
        <w:rPr>
          <w:rFonts w:cs="Times New Roman"/>
          <w:u w:val="single"/>
          <w:lang w:val="fr-CA"/>
        </w:rPr>
        <w:t>exclusif</w:t>
      </w:r>
      <w:r w:rsidRPr="00F52D1E">
        <w:rPr>
          <w:rFonts w:cs="Times New Roman"/>
          <w:lang w:val="fr-CA"/>
        </w:rPr>
        <w:t xml:space="preserve"> d’utiliser et d’occuper des terres, c’est</w:t>
      </w:r>
      <w:r w:rsidRPr="00F52D1E">
        <w:rPr>
          <w:rFonts w:cs="Times New Roman"/>
          <w:lang w:val="fr-CA"/>
        </w:rPr>
        <w:noBreakHyphen/>
        <w:t>à</w:t>
      </w:r>
      <w:r w:rsidRPr="00F52D1E">
        <w:rPr>
          <w:rFonts w:cs="Times New Roman"/>
          <w:lang w:val="fr-CA"/>
        </w:rPr>
        <w:noBreakHyphen/>
        <w:t xml:space="preserve">dire de le faire à </w:t>
      </w:r>
      <w:r w:rsidRPr="00F52D1E">
        <w:rPr>
          <w:rFonts w:cs="Times New Roman"/>
          <w:u w:val="single"/>
          <w:lang w:val="fr-CA"/>
        </w:rPr>
        <w:t>l’exclusion</w:t>
      </w:r>
      <w:r w:rsidRPr="00F52D1E">
        <w:rPr>
          <w:rFonts w:cs="Times New Roman"/>
          <w:lang w:val="fr-CA"/>
        </w:rPr>
        <w:t xml:space="preserve"> des non</w:t>
      </w:r>
      <w:r w:rsidRPr="00F52D1E">
        <w:rPr>
          <w:rFonts w:cs="Times New Roman"/>
          <w:lang w:val="fr-CA"/>
        </w:rPr>
        <w:noBreakHyphen/>
        <w:t xml:space="preserve">autochtones et des membres d’autres nations autochtones » : </w:t>
      </w:r>
      <w:r w:rsidRPr="00F52D1E">
        <w:rPr>
          <w:rFonts w:cs="Times New Roman"/>
          <w:i/>
          <w:lang w:val="fr-CA"/>
        </w:rPr>
        <w:t>Delgamuukw</w:t>
      </w:r>
      <w:r w:rsidRPr="00F52D1E">
        <w:rPr>
          <w:rFonts w:cs="Times New Roman"/>
          <w:lang w:val="fr-CA"/>
        </w:rPr>
        <w:t>, par. 185 (soulignements dans l’original). Cette logique s’applique non seulement aux jugements déclaratoires que sollicitent les demandeurs, mais également à la demande en dommages</w:t>
      </w:r>
      <w:r w:rsidRPr="00F52D1E">
        <w:rPr>
          <w:rFonts w:cs="Times New Roman"/>
          <w:lang w:val="fr-CA"/>
        </w:rPr>
        <w:noBreakHyphen/>
        <w:t>intérêts, qui pourraient avoir une incidence sur la valeur économique des droits d’autres groupes autochtones.</w:t>
      </w:r>
    </w:p>
    <w:p w:rsidR="00CF3116" w:rsidRPr="00F52D1E" w:rsidRDefault="00CF3116" w:rsidP="00CF3116">
      <w:pPr>
        <w:pStyle w:val="ParaNoNdepar-AltN"/>
        <w:rPr>
          <w:rFonts w:cs="Times New Roman"/>
          <w:lang w:val="fr-CA" w:bidi="en-US"/>
        </w:rPr>
      </w:pPr>
      <w:r w:rsidRPr="00F52D1E">
        <w:rPr>
          <w:rFonts w:cs="Times New Roman"/>
          <w:lang w:val="fr-CA" w:bidi="en-US"/>
        </w:rPr>
        <w:t xml:space="preserve">Les revendications qui visent des territoires se chevauchant soulèvent de réels défis de fond et de procédure que la Cour n’a toujours pas résolus. D’ici à ce </w:t>
      </w:r>
      <w:r w:rsidRPr="00F52D1E">
        <w:rPr>
          <w:rFonts w:cs="Times New Roman"/>
          <w:lang w:val="fr-CA" w:bidi="en-US"/>
        </w:rPr>
        <w:lastRenderedPageBreak/>
        <w:t>qu’elle le fasse, les tribunaux devraient s’abstenir d’étirer les règles de procédure de manière à pouvoir rendre des décisions qui sembleront avoir une incidence sur les droits de groupes autochtones qui ne sont ni présents ni (présumément) liés par le résultat.</w:t>
      </w:r>
    </w:p>
    <w:p w:rsidR="00CF3116" w:rsidRPr="00F52D1E" w:rsidRDefault="00CF3116" w:rsidP="00CF3116">
      <w:pPr>
        <w:pStyle w:val="Title1LevelTitre1Niveau-AltL"/>
        <w:rPr>
          <w:rFonts w:cs="Times New Roman"/>
        </w:rPr>
      </w:pPr>
      <w:bookmarkStart w:id="141" w:name="_Toc11660761"/>
      <w:bookmarkStart w:id="142" w:name="_Toc29195630"/>
      <w:bookmarkStart w:id="143" w:name="_Toc31207784"/>
      <w:bookmarkStart w:id="144" w:name="_Toc32309446"/>
      <w:bookmarkStart w:id="145" w:name="_Toc32852601"/>
      <w:bookmarkStart w:id="146" w:name="_Toc32912081"/>
      <w:bookmarkStart w:id="147" w:name="_Toc33007314"/>
      <w:r w:rsidRPr="00F52D1E">
        <w:rPr>
          <w:rFonts w:cs="Times New Roman"/>
        </w:rPr>
        <w:t>Conclusion</w:t>
      </w:r>
      <w:bookmarkEnd w:id="141"/>
      <w:bookmarkEnd w:id="142"/>
      <w:bookmarkEnd w:id="143"/>
      <w:bookmarkEnd w:id="144"/>
      <w:bookmarkEnd w:id="145"/>
      <w:bookmarkEnd w:id="146"/>
      <w:bookmarkEnd w:id="147"/>
    </w:p>
    <w:p w:rsidR="00CF3116" w:rsidRPr="00FF066D" w:rsidRDefault="00CF3116" w:rsidP="00CF3116">
      <w:pPr>
        <w:pStyle w:val="ParaNoNdepar-AltN"/>
        <w:rPr>
          <w:rFonts w:cs="Times New Roman"/>
          <w:lang w:val="fr-CA"/>
        </w:rPr>
      </w:pPr>
      <w:r w:rsidRPr="00F52D1E">
        <w:rPr>
          <w:rFonts w:cs="Times New Roman"/>
          <w:lang w:val="fr-CA"/>
        </w:rPr>
        <w:t>Nous suggérons d’accueillir l’appel avec dépens, d’infirmer les jugements de la Cour supérieure du Québec et de la Cour d’appel du Québec, d’accueillir en partie la requête en radiation d’allégations du PGTNL et d’ordonner que les conclusions de la requête introductive d’instance des Innus qui sont de nature déclaratoire ou injonctive et qui visent le Nitassinan ou le mégaprojet d’IOC soient modifiées afin qu’elles se limitent à des faits, activités ou droits situés à l’intérieur des limites territoriales du Québec.</w:t>
      </w:r>
    </w:p>
    <w:p w:rsidR="004D7D95" w:rsidRPr="00974E79" w:rsidRDefault="004D7D95" w:rsidP="00B820BA">
      <w:pPr>
        <w:pStyle w:val="SCCNormalDoubleSpacing"/>
        <w:spacing w:after="480"/>
        <w:rPr>
          <w:i/>
          <w:lang w:val="fr-CA"/>
        </w:rPr>
      </w:pPr>
      <w:r w:rsidRPr="009471AB">
        <w:rPr>
          <w:lang w:val="fr-CA"/>
        </w:rPr>
        <w:tab/>
      </w:r>
      <w:r w:rsidR="009471AB" w:rsidRPr="00202683">
        <w:rPr>
          <w:i/>
          <w:lang w:val="fr-CA"/>
        </w:rPr>
        <w:t xml:space="preserve">Pourvoi </w:t>
      </w:r>
      <w:r w:rsidR="00414BDF" w:rsidRPr="00202683">
        <w:rPr>
          <w:i/>
          <w:lang w:val="fr-CA"/>
        </w:rPr>
        <w:t>rejeté</w:t>
      </w:r>
      <w:r w:rsidR="00974E79" w:rsidRPr="00202683">
        <w:rPr>
          <w:i/>
          <w:iCs/>
          <w:lang w:val="fr-FR"/>
        </w:rPr>
        <w:t xml:space="preserve"> avec dépens devant toutes les cours, les juges </w:t>
      </w:r>
      <w:r w:rsidR="00974E79" w:rsidRPr="00202683">
        <w:rPr>
          <w:smallCaps/>
          <w:lang w:val="fr-CA"/>
        </w:rPr>
        <w:t>Moldaver</w:t>
      </w:r>
      <w:r w:rsidR="00974E79" w:rsidRPr="00A37A7D">
        <w:rPr>
          <w:i/>
          <w:smallCaps/>
          <w:lang w:val="fr-CA"/>
        </w:rPr>
        <w:t>,</w:t>
      </w:r>
      <w:r w:rsidR="00974E79" w:rsidRPr="00202683">
        <w:rPr>
          <w:smallCaps/>
          <w:lang w:val="fr-CA"/>
        </w:rPr>
        <w:t xml:space="preserve"> </w:t>
      </w:r>
      <w:r w:rsidR="00974E79" w:rsidRPr="00202683">
        <w:rPr>
          <w:bCs/>
          <w:smallCaps/>
          <w:lang w:val="fr-CA"/>
        </w:rPr>
        <w:t>Côté</w:t>
      </w:r>
      <w:r w:rsidR="00974E79" w:rsidRPr="00A37A7D">
        <w:rPr>
          <w:bCs/>
          <w:i/>
          <w:smallCaps/>
          <w:lang w:val="fr-CA"/>
        </w:rPr>
        <w:t>,</w:t>
      </w:r>
      <w:r w:rsidR="00974E79" w:rsidRPr="00202683">
        <w:rPr>
          <w:bCs/>
          <w:smallCaps/>
          <w:lang w:val="fr-CA"/>
        </w:rPr>
        <w:t xml:space="preserve"> Brown</w:t>
      </w:r>
      <w:r w:rsidR="00974E79" w:rsidRPr="00202683">
        <w:rPr>
          <w:smallCaps/>
          <w:lang w:val="fr-CA"/>
        </w:rPr>
        <w:t xml:space="preserve"> </w:t>
      </w:r>
      <w:r w:rsidR="00974E79" w:rsidRPr="00495971">
        <w:rPr>
          <w:i/>
          <w:lang w:val="fr-CA"/>
        </w:rPr>
        <w:t>et</w:t>
      </w:r>
      <w:r w:rsidR="00974E79" w:rsidRPr="00202683">
        <w:rPr>
          <w:smallCaps/>
          <w:lang w:val="fr-CA"/>
        </w:rPr>
        <w:t xml:space="preserve"> Rowe</w:t>
      </w:r>
      <w:r w:rsidR="00974E79" w:rsidRPr="00202683">
        <w:rPr>
          <w:i/>
          <w:lang w:val="fr-CA"/>
        </w:rPr>
        <w:t xml:space="preserve"> sont dissidents</w:t>
      </w:r>
      <w:r w:rsidR="009471AB" w:rsidRPr="00202683">
        <w:rPr>
          <w:i/>
          <w:lang w:val="fr-CA"/>
        </w:rPr>
        <w:t>.</w:t>
      </w:r>
    </w:p>
    <w:p w:rsidR="00103A53" w:rsidRPr="00856A0B" w:rsidRDefault="00D51974" w:rsidP="00B820BA">
      <w:pPr>
        <w:pStyle w:val="SCCLawFirm"/>
        <w:spacing w:after="480"/>
      </w:pPr>
      <w:r w:rsidRPr="00974E79">
        <w:rPr>
          <w:lang w:val="fr-CA"/>
        </w:rPr>
        <w:tab/>
      </w:r>
      <w:r w:rsidRPr="00856A0B">
        <w:t>Procureurs</w:t>
      </w:r>
      <w:r w:rsidR="00D36A59" w:rsidRPr="00856A0B">
        <w:t xml:space="preserve"> de </w:t>
      </w:r>
      <w:proofErr w:type="gramStart"/>
      <w:r w:rsidR="00D36A59" w:rsidRPr="00856A0B">
        <w:t>l</w:t>
      </w:r>
      <w:r w:rsidR="009F72D8">
        <w:t>’</w:t>
      </w:r>
      <w:r w:rsidRPr="00856A0B">
        <w:t>appelant</w:t>
      </w:r>
      <w:r w:rsidR="000916C5">
        <w:t> </w:t>
      </w:r>
      <w:r w:rsidR="00A6524A">
        <w:t>:</w:t>
      </w:r>
      <w:proofErr w:type="gramEnd"/>
      <w:r w:rsidR="00A6524A">
        <w:t> </w:t>
      </w:r>
      <w:r w:rsidR="00D36A59" w:rsidRPr="00856A0B">
        <w:t>Gowling WLG (Canada), Ottawa</w:t>
      </w:r>
      <w:r w:rsidR="00856A0B" w:rsidRPr="00856A0B">
        <w:t xml:space="preserve">; </w:t>
      </w:r>
      <w:r w:rsidR="0006778F">
        <w:t>Department of Justice and</w:t>
      </w:r>
      <w:r w:rsidR="00856A0B">
        <w:t xml:space="preserve"> Public </w:t>
      </w:r>
      <w:r w:rsidR="0006778F" w:rsidRPr="0006778F">
        <w:t>Safety</w:t>
      </w:r>
      <w:r w:rsidR="00856A0B" w:rsidRPr="0006778F">
        <w:t>, St</w:t>
      </w:r>
      <w:r w:rsidR="000916C5" w:rsidRPr="0006778F">
        <w:noBreakHyphen/>
      </w:r>
      <w:r w:rsidR="00856A0B" w:rsidRPr="0006778F">
        <w:t>John</w:t>
      </w:r>
      <w:r w:rsidR="009F72D8" w:rsidRPr="0006778F">
        <w:t>’</w:t>
      </w:r>
      <w:r w:rsidR="00856A0B" w:rsidRPr="0006778F">
        <w:t>s</w:t>
      </w:r>
      <w:r w:rsidR="00D36A59" w:rsidRPr="0006778F">
        <w:t>.</w:t>
      </w:r>
    </w:p>
    <w:p w:rsidR="00103A53" w:rsidRDefault="00D51974" w:rsidP="00B820BA">
      <w:pPr>
        <w:pStyle w:val="SCCLawFirm"/>
        <w:spacing w:after="480"/>
        <w:rPr>
          <w:lang w:val="fr-CA"/>
        </w:rPr>
      </w:pPr>
      <w:r w:rsidRPr="00856A0B">
        <w:tab/>
      </w:r>
      <w:r>
        <w:rPr>
          <w:lang w:val="fr-CA"/>
        </w:rPr>
        <w:t>Procureurs</w:t>
      </w:r>
      <w:r w:rsidR="00D36A59" w:rsidRPr="009471AB">
        <w:rPr>
          <w:lang w:val="fr-CA"/>
        </w:rPr>
        <w:t xml:space="preserve"> de</w:t>
      </w:r>
      <w:r w:rsidR="00835604">
        <w:rPr>
          <w:lang w:val="fr-CA"/>
        </w:rPr>
        <w:t xml:space="preserve">s </w:t>
      </w:r>
      <w:r w:rsidR="00D36A59" w:rsidRPr="009471AB">
        <w:rPr>
          <w:lang w:val="fr-CA"/>
        </w:rPr>
        <w:t>intimé</w:t>
      </w:r>
      <w:r w:rsidR="00835604">
        <w:rPr>
          <w:lang w:val="fr-CA"/>
        </w:rPr>
        <w:t>s</w:t>
      </w:r>
      <w:r w:rsidR="000916C5">
        <w:rPr>
          <w:lang w:val="fr-CA"/>
        </w:rPr>
        <w:t> </w:t>
      </w:r>
      <w:r w:rsidR="00A6524A">
        <w:rPr>
          <w:lang w:val="fr-CA"/>
        </w:rPr>
        <w:t>: </w:t>
      </w:r>
      <w:r w:rsidR="00835604" w:rsidRPr="004F07E4">
        <w:rPr>
          <w:lang w:val="fr-CA"/>
        </w:rPr>
        <w:t>Jean</w:t>
      </w:r>
      <w:r w:rsidR="000916C5">
        <w:rPr>
          <w:lang w:val="fr-CA"/>
        </w:rPr>
        <w:noBreakHyphen/>
      </w:r>
      <w:r w:rsidR="00835604" w:rsidRPr="004F07E4">
        <w:rPr>
          <w:lang w:val="fr-CA"/>
        </w:rPr>
        <w:t>François Bertrand</w:t>
      </w:r>
      <w:r w:rsidR="008A5FBC">
        <w:rPr>
          <w:lang w:val="fr-CA"/>
        </w:rPr>
        <w:t xml:space="preserve"> Avocats inc.</w:t>
      </w:r>
      <w:r w:rsidR="00835604" w:rsidRPr="004F07E4">
        <w:rPr>
          <w:lang w:val="fr-CA"/>
        </w:rPr>
        <w:t>, Québec</w:t>
      </w:r>
      <w:r w:rsidR="00835604">
        <w:rPr>
          <w:lang w:val="fr-CA"/>
        </w:rPr>
        <w:t>; O</w:t>
      </w:r>
      <w:r w:rsidR="009F72D8">
        <w:rPr>
          <w:lang w:val="fr-CA"/>
        </w:rPr>
        <w:t>’</w:t>
      </w:r>
      <w:r w:rsidR="00835604">
        <w:rPr>
          <w:lang w:val="fr-CA"/>
        </w:rPr>
        <w:t>Reilly &amp; Associés, Montréal; François Lévesque, Québec</w:t>
      </w:r>
      <w:r w:rsidR="00835604" w:rsidRPr="004F07E4">
        <w:rPr>
          <w:lang w:val="fr-CA"/>
        </w:rPr>
        <w:t>.</w:t>
      </w:r>
    </w:p>
    <w:p w:rsidR="00835604" w:rsidRPr="009471AB" w:rsidRDefault="00835604" w:rsidP="00B820BA">
      <w:pPr>
        <w:pStyle w:val="SCCLawFirm"/>
        <w:spacing w:after="480"/>
        <w:rPr>
          <w:lang w:val="fr-CA"/>
        </w:rPr>
      </w:pPr>
      <w:r>
        <w:rPr>
          <w:lang w:val="fr-CA"/>
        </w:rPr>
        <w:tab/>
        <w:t xml:space="preserve">Procureur </w:t>
      </w:r>
      <w:r w:rsidRPr="009471AB">
        <w:rPr>
          <w:lang w:val="fr-CA"/>
        </w:rPr>
        <w:t>de l</w:t>
      </w:r>
      <w:r w:rsidR="009F72D8">
        <w:rPr>
          <w:lang w:val="fr-CA"/>
        </w:rPr>
        <w:t>’</w:t>
      </w:r>
      <w:r>
        <w:rPr>
          <w:lang w:val="fr-CA"/>
        </w:rPr>
        <w:t>intervenant le p</w:t>
      </w:r>
      <w:r w:rsidRPr="009471AB">
        <w:rPr>
          <w:lang w:val="fr-CA"/>
        </w:rPr>
        <w:t>rocureur général du Canada</w:t>
      </w:r>
      <w:r w:rsidR="000916C5">
        <w:rPr>
          <w:lang w:val="fr-CA"/>
        </w:rPr>
        <w:t> </w:t>
      </w:r>
      <w:r w:rsidR="00A6524A">
        <w:rPr>
          <w:lang w:val="fr-CA"/>
        </w:rPr>
        <w:t>: </w:t>
      </w:r>
      <w:r>
        <w:rPr>
          <w:lang w:val="fr-CA"/>
        </w:rPr>
        <w:t>Procureur général du</w:t>
      </w:r>
      <w:r w:rsidRPr="009471AB">
        <w:rPr>
          <w:lang w:val="fr-CA"/>
        </w:rPr>
        <w:t xml:space="preserve"> Canada, Montréal.</w:t>
      </w:r>
    </w:p>
    <w:p w:rsidR="00835604" w:rsidRPr="009471AB" w:rsidRDefault="00835604" w:rsidP="00B820BA">
      <w:pPr>
        <w:pStyle w:val="SCCLawFirm"/>
        <w:spacing w:after="480"/>
        <w:rPr>
          <w:lang w:val="fr-CA"/>
        </w:rPr>
      </w:pPr>
      <w:r>
        <w:rPr>
          <w:lang w:val="fr-CA"/>
        </w:rPr>
        <w:lastRenderedPageBreak/>
        <w:tab/>
        <w:t>Procureur</w:t>
      </w:r>
      <w:r w:rsidRPr="009471AB">
        <w:rPr>
          <w:lang w:val="fr-CA"/>
        </w:rPr>
        <w:t xml:space="preserve"> de l</w:t>
      </w:r>
      <w:r w:rsidR="009F72D8">
        <w:rPr>
          <w:lang w:val="fr-CA"/>
        </w:rPr>
        <w:t>’</w:t>
      </w:r>
      <w:r>
        <w:rPr>
          <w:lang w:val="fr-CA"/>
        </w:rPr>
        <w:t>intervenant le p</w:t>
      </w:r>
      <w:r w:rsidRPr="009471AB">
        <w:rPr>
          <w:lang w:val="fr-CA"/>
        </w:rPr>
        <w:t>rocureur général de la Colombie</w:t>
      </w:r>
      <w:r w:rsidR="000916C5">
        <w:rPr>
          <w:lang w:val="fr-CA"/>
        </w:rPr>
        <w:noBreakHyphen/>
      </w:r>
      <w:r w:rsidRPr="009471AB">
        <w:rPr>
          <w:lang w:val="fr-CA"/>
        </w:rPr>
        <w:t>Britannique</w:t>
      </w:r>
      <w:r w:rsidR="000916C5">
        <w:rPr>
          <w:lang w:val="fr-CA"/>
        </w:rPr>
        <w:t> </w:t>
      </w:r>
      <w:r w:rsidR="00A6524A">
        <w:rPr>
          <w:lang w:val="fr-CA"/>
        </w:rPr>
        <w:t>: </w:t>
      </w:r>
      <w:r>
        <w:rPr>
          <w:lang w:val="fr-CA"/>
        </w:rPr>
        <w:t>Procureur général de Colombie</w:t>
      </w:r>
      <w:r w:rsidR="000916C5">
        <w:rPr>
          <w:lang w:val="fr-CA"/>
        </w:rPr>
        <w:noBreakHyphen/>
      </w:r>
      <w:r>
        <w:rPr>
          <w:lang w:val="fr-CA"/>
        </w:rPr>
        <w:t>Britannique</w:t>
      </w:r>
      <w:r w:rsidRPr="009471AB">
        <w:rPr>
          <w:lang w:val="fr-CA"/>
        </w:rPr>
        <w:t>, Victoria.</w:t>
      </w:r>
    </w:p>
    <w:p w:rsidR="00103A53" w:rsidRDefault="00D51974" w:rsidP="00B820BA">
      <w:pPr>
        <w:pStyle w:val="SCCLawFirm"/>
        <w:spacing w:after="480"/>
        <w:rPr>
          <w:lang w:val="fr-CA"/>
        </w:rPr>
      </w:pPr>
      <w:r>
        <w:rPr>
          <w:lang w:val="fr-CA"/>
        </w:rPr>
        <w:tab/>
      </w:r>
      <w:r w:rsidRPr="00835604">
        <w:rPr>
          <w:lang w:val="fr-CA"/>
        </w:rPr>
        <w:t>Procureurs des intervenantes la</w:t>
      </w:r>
      <w:r w:rsidR="00D36A59" w:rsidRPr="00835604">
        <w:rPr>
          <w:lang w:val="fr-CA"/>
        </w:rPr>
        <w:t xml:space="preserve"> Compagnie minière IOC</w:t>
      </w:r>
      <w:r w:rsidRPr="00835604">
        <w:rPr>
          <w:lang w:val="fr-CA"/>
        </w:rPr>
        <w:t xml:space="preserve"> et la</w:t>
      </w:r>
      <w:r w:rsidR="00D36A59" w:rsidRPr="00835604">
        <w:rPr>
          <w:lang w:val="fr-CA"/>
        </w:rPr>
        <w:t xml:space="preserve"> Compagnie</w:t>
      </w:r>
      <w:r w:rsidR="00D36A59" w:rsidRPr="009471AB">
        <w:rPr>
          <w:lang w:val="fr-CA"/>
        </w:rPr>
        <w:t xml:space="preserve"> de chemin de fer du littoral nord de Québec et du Labrador inc.</w:t>
      </w:r>
      <w:r w:rsidR="000916C5">
        <w:rPr>
          <w:lang w:val="fr-CA"/>
        </w:rPr>
        <w:t> </w:t>
      </w:r>
      <w:r w:rsidR="00A6524A">
        <w:rPr>
          <w:lang w:val="fr-CA"/>
        </w:rPr>
        <w:t>: </w:t>
      </w:r>
      <w:r w:rsidR="00D36A59" w:rsidRPr="009471AB">
        <w:rPr>
          <w:lang w:val="fr-CA"/>
        </w:rPr>
        <w:t>Norton Rose Fulbright Canada, Montréal.</w:t>
      </w:r>
    </w:p>
    <w:p w:rsidR="00103A53" w:rsidRPr="009471AB" w:rsidRDefault="00D51974" w:rsidP="00B820BA">
      <w:pPr>
        <w:pStyle w:val="SCCLawFirm"/>
        <w:spacing w:after="480"/>
        <w:rPr>
          <w:lang w:val="fr-CA"/>
        </w:rPr>
      </w:pPr>
      <w:r>
        <w:rPr>
          <w:lang w:val="fr-CA"/>
        </w:rPr>
        <w:tab/>
        <w:t>Procureurs</w:t>
      </w:r>
      <w:r w:rsidR="00835604">
        <w:rPr>
          <w:lang w:val="fr-CA"/>
        </w:rPr>
        <w:t xml:space="preserve"> des intervenants</w:t>
      </w:r>
      <w:r w:rsidR="00D36A59" w:rsidRPr="009471AB">
        <w:rPr>
          <w:lang w:val="fr-CA"/>
        </w:rPr>
        <w:t xml:space="preserve"> Kitigan Zibi Anishinabeg et l</w:t>
      </w:r>
      <w:r w:rsidR="00835604">
        <w:rPr>
          <w:lang w:val="fr-CA"/>
        </w:rPr>
        <w:t xml:space="preserve">e </w:t>
      </w:r>
      <w:r w:rsidR="00D36A59" w:rsidRPr="009471AB">
        <w:rPr>
          <w:lang w:val="fr-CA"/>
        </w:rPr>
        <w:t>Conseil tribal de la nation algonquine Anishinabeg</w:t>
      </w:r>
      <w:r w:rsidR="000916C5">
        <w:rPr>
          <w:lang w:val="fr-CA"/>
        </w:rPr>
        <w:t> </w:t>
      </w:r>
      <w:r w:rsidR="00A6524A">
        <w:rPr>
          <w:lang w:val="fr-CA"/>
        </w:rPr>
        <w:t>: </w:t>
      </w:r>
      <w:r w:rsidR="00D36A59" w:rsidRPr="009471AB">
        <w:rPr>
          <w:lang w:val="fr-CA"/>
        </w:rPr>
        <w:t>Woodward &amp; Co</w:t>
      </w:r>
      <w:r w:rsidR="001B6C73">
        <w:rPr>
          <w:lang w:val="fr-CA"/>
        </w:rPr>
        <w:t>.</w:t>
      </w:r>
      <w:r w:rsidR="00D36A59" w:rsidRPr="009471AB">
        <w:rPr>
          <w:lang w:val="fr-CA"/>
        </w:rPr>
        <w:t>, Victoria.</w:t>
      </w:r>
    </w:p>
    <w:p w:rsidR="00103A53" w:rsidRPr="009471AB" w:rsidRDefault="00D51974" w:rsidP="00B820BA">
      <w:pPr>
        <w:pStyle w:val="SCCLawFirm"/>
        <w:spacing w:after="480"/>
        <w:rPr>
          <w:lang w:val="fr-CA"/>
        </w:rPr>
      </w:pPr>
      <w:r>
        <w:rPr>
          <w:lang w:val="fr-CA"/>
        </w:rPr>
        <w:tab/>
        <w:t>Procureurs</w:t>
      </w:r>
      <w:r w:rsidR="00D36A59" w:rsidRPr="009471AB">
        <w:rPr>
          <w:lang w:val="fr-CA"/>
        </w:rPr>
        <w:t xml:space="preserve"> de l</w:t>
      </w:r>
      <w:r w:rsidR="009F72D8">
        <w:rPr>
          <w:lang w:val="fr-CA"/>
        </w:rPr>
        <w:t>’</w:t>
      </w:r>
      <w:r w:rsidR="00D36A59" w:rsidRPr="009471AB">
        <w:rPr>
          <w:lang w:val="fr-CA"/>
        </w:rPr>
        <w:t>in</w:t>
      </w:r>
      <w:r w:rsidR="00835604">
        <w:rPr>
          <w:lang w:val="fr-CA"/>
        </w:rPr>
        <w:t>tervenante</w:t>
      </w:r>
      <w:r w:rsidR="00D36A59" w:rsidRPr="009471AB">
        <w:rPr>
          <w:lang w:val="fr-CA"/>
        </w:rPr>
        <w:t xml:space="preserve"> Amnistie </w:t>
      </w:r>
      <w:r w:rsidR="00974E79">
        <w:rPr>
          <w:lang w:val="fr-CA"/>
        </w:rPr>
        <w:t>i</w:t>
      </w:r>
      <w:r w:rsidR="00D36A59" w:rsidRPr="009471AB">
        <w:rPr>
          <w:lang w:val="fr-CA"/>
        </w:rPr>
        <w:t>nternationale Canada</w:t>
      </w:r>
      <w:r w:rsidR="000916C5">
        <w:rPr>
          <w:lang w:val="fr-CA"/>
        </w:rPr>
        <w:t> </w:t>
      </w:r>
      <w:r w:rsidR="00A6524A">
        <w:rPr>
          <w:lang w:val="fr-CA"/>
        </w:rPr>
        <w:t>: </w:t>
      </w:r>
      <w:r w:rsidR="00D36A59" w:rsidRPr="009471AB">
        <w:rPr>
          <w:lang w:val="fr-CA"/>
        </w:rPr>
        <w:t>Juristes Power, Ottawa.</w:t>
      </w:r>
    </w:p>
    <w:p w:rsidR="00103A53" w:rsidRDefault="00D36A59">
      <w:pPr>
        <w:pStyle w:val="SCCLawFirm"/>
      </w:pPr>
      <w:r w:rsidRPr="009471AB">
        <w:rPr>
          <w:lang w:val="fr-CA"/>
        </w:rPr>
        <w:tab/>
      </w:r>
      <w:r w:rsidR="00D51974">
        <w:t>Procureur</w:t>
      </w:r>
      <w:r>
        <w:t>s</w:t>
      </w:r>
      <w:r w:rsidR="00D51974">
        <w:t xml:space="preserve"> </w:t>
      </w:r>
      <w:r>
        <w:t>de l</w:t>
      </w:r>
      <w:r w:rsidR="009F72D8">
        <w:t>’</w:t>
      </w:r>
      <w:r w:rsidR="00835604">
        <w:t>intervenante</w:t>
      </w:r>
      <w:r>
        <w:t xml:space="preserve"> Tsawout First </w:t>
      </w:r>
      <w:proofErr w:type="gramStart"/>
      <w:r>
        <w:t>Nation</w:t>
      </w:r>
      <w:r w:rsidR="000916C5">
        <w:t> </w:t>
      </w:r>
      <w:r w:rsidR="00A6524A">
        <w:t>:</w:t>
      </w:r>
      <w:proofErr w:type="gramEnd"/>
      <w:r w:rsidR="00A6524A">
        <w:t> </w:t>
      </w:r>
      <w:r>
        <w:t>D</w:t>
      </w:r>
      <w:r w:rsidR="00835604">
        <w:t xml:space="preserve">evlin </w:t>
      </w:r>
      <w:r>
        <w:t>G</w:t>
      </w:r>
      <w:r w:rsidR="00835604">
        <w:t xml:space="preserve">ailus </w:t>
      </w:r>
      <w:r>
        <w:t>W</w:t>
      </w:r>
      <w:r w:rsidR="00835604">
        <w:t>atson</w:t>
      </w:r>
      <w:r>
        <w:t xml:space="preserve"> Law Corporation, Victoria.</w:t>
      </w:r>
    </w:p>
    <w:sectPr w:rsidR="00103A5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CF" w:rsidRDefault="00F92ACF">
      <w:r>
        <w:separator/>
      </w:r>
    </w:p>
  </w:endnote>
  <w:endnote w:type="continuationSeparator" w:id="0">
    <w:p w:rsidR="00F92ACF" w:rsidRDefault="00F9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CF" w:rsidRDefault="00F92ACF">
      <w:r>
        <w:separator/>
      </w:r>
    </w:p>
  </w:footnote>
  <w:footnote w:type="continuationSeparator" w:id="0">
    <w:p w:rsidR="00F92ACF" w:rsidRDefault="00F92ACF">
      <w:r>
        <w:continuationSeparator/>
      </w:r>
    </w:p>
  </w:footnote>
  <w:footnote w:id="1">
    <w:p w:rsidR="00F92ACF" w:rsidRPr="00BE79B3" w:rsidRDefault="00F92ACF" w:rsidP="00CF3116">
      <w:pPr>
        <w:pStyle w:val="FootnoteText"/>
        <w:rPr>
          <w:lang w:val="fr-CA"/>
        </w:rPr>
      </w:pPr>
      <w:r w:rsidRPr="006203AD">
        <w:rPr>
          <w:rStyle w:val="FootnoteReference"/>
        </w:rPr>
        <w:footnoteRef/>
      </w:r>
      <w:r w:rsidRPr="00BE79B3">
        <w:rPr>
          <w:lang w:val="fr-CA"/>
        </w:rPr>
        <w:t xml:space="preserve"> </w:t>
      </w:r>
      <w:r w:rsidRPr="00992334">
        <w:rPr>
          <w:lang w:val="fr-CA"/>
        </w:rPr>
        <w:tab/>
      </w:r>
      <w:r w:rsidRPr="00BE79B3">
        <w:rPr>
          <w:lang w:val="fr-CA"/>
        </w:rPr>
        <w:t xml:space="preserve">Ces traités, instruments et autres </w:t>
      </w:r>
      <w:r w:rsidRPr="00992334">
        <w:rPr>
          <w:lang w:val="fr-CA"/>
        </w:rPr>
        <w:t xml:space="preserve">documents </w:t>
      </w:r>
      <w:r w:rsidRPr="00BE79B3">
        <w:rPr>
          <w:lang w:val="fr-CA"/>
        </w:rPr>
        <w:t>sont énumérés</w:t>
      </w:r>
      <w:r w:rsidRPr="00992334">
        <w:rPr>
          <w:lang w:val="fr-CA"/>
        </w:rPr>
        <w:t xml:space="preserve"> au </w:t>
      </w:r>
      <w:r>
        <w:rPr>
          <w:lang w:val="fr-CA"/>
        </w:rPr>
        <w:t>par. </w:t>
      </w:r>
      <w:r w:rsidRPr="00992334">
        <w:rPr>
          <w:lang w:val="fr-CA"/>
        </w:rPr>
        <w:t xml:space="preserve">30 de la </w:t>
      </w:r>
      <w:r>
        <w:rPr>
          <w:lang w:val="fr-CA"/>
        </w:rPr>
        <w:t>r</w:t>
      </w:r>
      <w:r w:rsidRPr="008D4BC2">
        <w:rPr>
          <w:lang w:val="fr-CA"/>
        </w:rPr>
        <w:t xml:space="preserve">equête introductive d’instance </w:t>
      </w:r>
      <w:r>
        <w:rPr>
          <w:lang w:val="fr-CA"/>
        </w:rPr>
        <w:t>(</w:t>
      </w:r>
      <w:proofErr w:type="gramStart"/>
      <w:r>
        <w:rPr>
          <w:lang w:val="fr-CA"/>
        </w:rPr>
        <w:t>d.a.,</w:t>
      </w:r>
      <w:proofErr w:type="gramEnd"/>
      <w:r>
        <w:rPr>
          <w:lang w:val="fr-CA"/>
        </w:rPr>
        <w:t xml:space="preserve"> vol. II, p. 7) </w:t>
      </w:r>
      <w:r w:rsidRPr="00992334">
        <w:rPr>
          <w:lang w:val="fr-CA"/>
        </w:rPr>
        <w:t xml:space="preserve">(tel que </w:t>
      </w:r>
      <w:r>
        <w:rPr>
          <w:lang w:val="fr-CA"/>
        </w:rPr>
        <w:t>complété par le</w:t>
      </w:r>
      <w:r w:rsidRPr="00992334">
        <w:rPr>
          <w:lang w:val="fr-CA"/>
        </w:rPr>
        <w:t xml:space="preserve"> </w:t>
      </w:r>
      <w:r>
        <w:rPr>
          <w:lang w:val="fr-CA"/>
        </w:rPr>
        <w:t>par. </w:t>
      </w:r>
      <w:r w:rsidRPr="00992334">
        <w:rPr>
          <w:lang w:val="fr-CA"/>
        </w:rPr>
        <w:t>30(c</w:t>
      </w:r>
      <w:proofErr w:type="gramStart"/>
      <w:r w:rsidRPr="00992334">
        <w:rPr>
          <w:lang w:val="fr-CA"/>
        </w:rPr>
        <w:t>)(</w:t>
      </w:r>
      <w:proofErr w:type="gramEnd"/>
      <w:r w:rsidRPr="00992334">
        <w:rPr>
          <w:lang w:val="fr-CA"/>
        </w:rPr>
        <w:t xml:space="preserve">iii) des précisions </w:t>
      </w:r>
      <w:r w:rsidRPr="00BE79B3">
        <w:rPr>
          <w:lang w:val="fr-CA"/>
        </w:rPr>
        <w:t>du 31 octobre 2013 fournies à la demande des défenderesses</w:t>
      </w:r>
      <w:r>
        <w:rPr>
          <w:lang w:val="fr-CA"/>
        </w:rPr>
        <w:t xml:space="preserve"> (d.a., vol. II, p. 48)</w:t>
      </w:r>
      <w:r w:rsidRPr="00992334">
        <w:rPr>
          <w:lang w:val="fr-CA"/>
        </w:rPr>
        <w:t>)</w:t>
      </w:r>
      <w:r w:rsidRPr="00BE79B3">
        <w:rPr>
          <w:lang w:val="fr-CA"/>
        </w:rPr>
        <w:t>, et incluent le Traité d’</w:t>
      </w:r>
      <w:r>
        <w:rPr>
          <w:lang w:val="fr-CA"/>
        </w:rPr>
        <w:t>a</w:t>
      </w:r>
      <w:r w:rsidRPr="00992334">
        <w:rPr>
          <w:lang w:val="fr-CA"/>
        </w:rPr>
        <w:t>lliance de 1603, le Traité de</w:t>
      </w:r>
      <w:r w:rsidRPr="00BE79B3">
        <w:rPr>
          <w:lang w:val="fr-CA"/>
        </w:rPr>
        <w:t xml:space="preserve"> paix de Trois</w:t>
      </w:r>
      <w:r>
        <w:rPr>
          <w:lang w:val="fr-CA"/>
        </w:rPr>
        <w:noBreakHyphen/>
      </w:r>
      <w:r w:rsidRPr="00BE79B3">
        <w:rPr>
          <w:lang w:val="fr-CA"/>
        </w:rPr>
        <w:t>Rivières de 1645</w:t>
      </w:r>
      <w:r w:rsidRPr="00992334">
        <w:rPr>
          <w:lang w:val="fr-CA"/>
        </w:rPr>
        <w:t xml:space="preserve"> et le Traité de 1760 entre les Montagnais et la Couronne britannique.</w:t>
      </w:r>
      <w:r>
        <w:rPr>
          <w:lang w:val="fr-CA"/>
        </w:rPr>
        <w:t xml:space="preserve"> </w:t>
      </w:r>
    </w:p>
  </w:footnote>
  <w:footnote w:id="2">
    <w:p w:rsidR="00F92ACF" w:rsidRPr="00D3085A" w:rsidRDefault="00F92ACF" w:rsidP="00CF3116">
      <w:pPr>
        <w:pStyle w:val="FootnoteText"/>
        <w:rPr>
          <w:lang w:val="fr-CA"/>
        </w:rPr>
      </w:pPr>
      <w:r>
        <w:rPr>
          <w:rStyle w:val="FootnoteReference"/>
        </w:rPr>
        <w:footnoteRef/>
      </w:r>
      <w:r w:rsidRPr="00D3085A">
        <w:rPr>
          <w:lang w:val="fr-CA"/>
        </w:rPr>
        <w:t xml:space="preserve"> </w:t>
      </w:r>
      <w:r>
        <w:rPr>
          <w:lang w:val="fr-CA"/>
        </w:rPr>
        <w:tab/>
        <w:t xml:space="preserve">Il s’agirait aussi d’une violation de diverses dispositions de la </w:t>
      </w:r>
      <w:r w:rsidRPr="00D3085A">
        <w:rPr>
          <w:i/>
          <w:lang w:val="fr-CA"/>
        </w:rPr>
        <w:t>Charte des droits et libertés de la personne</w:t>
      </w:r>
      <w:r>
        <w:rPr>
          <w:lang w:val="fr-CA"/>
        </w:rPr>
        <w:t>, RLRQ, c. C</w:t>
      </w:r>
      <w:r>
        <w:rPr>
          <w:lang w:val="fr-CA"/>
        </w:rPr>
        <w:noBreakHyphen/>
        <w:t xml:space="preserve">12, de la </w:t>
      </w:r>
      <w:r w:rsidRPr="00D3085A">
        <w:rPr>
          <w:i/>
          <w:lang w:val="fr-CA"/>
        </w:rPr>
        <w:t>Charte canadienne des droits et libertés</w:t>
      </w:r>
      <w:r>
        <w:rPr>
          <w:lang w:val="fr-CA"/>
        </w:rPr>
        <w:t xml:space="preserve">, et de la </w:t>
      </w:r>
      <w:r w:rsidRPr="00D3085A">
        <w:rPr>
          <w:i/>
          <w:lang w:val="fr-CA"/>
        </w:rPr>
        <w:t>Déclaration des Nations Unies sur les droits des peuples autochtones</w:t>
      </w:r>
      <w:r>
        <w:rPr>
          <w:lang w:val="fr-CA"/>
        </w:rPr>
        <w:t>, A.G. Rés., Doc off AG NU, 61</w:t>
      </w:r>
      <w:r w:rsidRPr="009B49F1">
        <w:rPr>
          <w:vertAlign w:val="superscript"/>
          <w:lang w:val="fr-CA"/>
        </w:rPr>
        <w:t>e</w:t>
      </w:r>
      <w:r>
        <w:rPr>
          <w:lang w:val="fr-CA"/>
        </w:rPr>
        <w:t xml:space="preserve"> sess., suppl. n</w:t>
      </w:r>
      <w:r w:rsidRPr="009B49F1">
        <w:rPr>
          <w:vertAlign w:val="superscript"/>
          <w:lang w:val="fr-CA"/>
        </w:rPr>
        <w:t>o</w:t>
      </w:r>
      <w:r>
        <w:rPr>
          <w:lang w:val="fr-CA"/>
        </w:rPr>
        <w:t xml:space="preserve"> 49, Doc NU A/RES/61/295 (2007) : par. 155. </w:t>
      </w:r>
    </w:p>
  </w:footnote>
  <w:footnote w:id="3">
    <w:p w:rsidR="00F92ACF" w:rsidRPr="00476C58" w:rsidRDefault="00F92ACF" w:rsidP="00CF3116">
      <w:pPr>
        <w:pStyle w:val="FootnoteText"/>
        <w:rPr>
          <w:lang w:val="fr-CA"/>
        </w:rPr>
      </w:pPr>
      <w:r w:rsidRPr="00AC5C7E">
        <w:rPr>
          <w:rStyle w:val="FootnoteReference"/>
        </w:rPr>
        <w:footnoteRef/>
      </w:r>
      <w:r w:rsidRPr="00AC5C7E">
        <w:rPr>
          <w:lang w:val="fr-CA"/>
        </w:rPr>
        <w:t xml:space="preserve"> </w:t>
      </w:r>
      <w:r w:rsidRPr="00AC5C7E">
        <w:rPr>
          <w:lang w:val="fr-CA"/>
        </w:rPr>
        <w:tab/>
        <w:t xml:space="preserve">Contrairement au PGC, les Innus </w:t>
      </w:r>
      <w:r w:rsidRPr="009F3E48">
        <w:rPr>
          <w:lang w:val="fr-CA"/>
        </w:rPr>
        <w:t xml:space="preserve">ne </w:t>
      </w:r>
      <w:r w:rsidRPr="00AC5C7E">
        <w:rPr>
          <w:lang w:val="fr-CA"/>
        </w:rPr>
        <w:t xml:space="preserve">contestent </w:t>
      </w:r>
      <w:r w:rsidRPr="009F3E48">
        <w:rPr>
          <w:lang w:val="fr-CA"/>
        </w:rPr>
        <w:t>pas</w:t>
      </w:r>
      <w:r w:rsidRPr="00AC5C7E">
        <w:rPr>
          <w:lang w:val="fr-CA"/>
        </w:rPr>
        <w:t xml:space="preserve"> le fait que « [l]es règles de droit international privé prévues au </w:t>
      </w:r>
      <w:r w:rsidRPr="00296B35">
        <w:rPr>
          <w:i/>
          <w:lang w:val="fr-CA"/>
        </w:rPr>
        <w:t>C.c.Q.</w:t>
      </w:r>
      <w:r w:rsidRPr="00AC5C7E">
        <w:rPr>
          <w:lang w:val="fr-CA"/>
        </w:rPr>
        <w:t xml:space="preserve"> s’appliquent en l’espèce »</w:t>
      </w:r>
      <w:r>
        <w:rPr>
          <w:lang w:val="fr-CA"/>
        </w:rPr>
        <w:t> :</w:t>
      </w:r>
      <w:r w:rsidRPr="00AC5C7E">
        <w:rPr>
          <w:lang w:val="fr-CA"/>
        </w:rPr>
        <w:t xml:space="preserve"> </w:t>
      </w:r>
      <w:proofErr w:type="gramStart"/>
      <w:r w:rsidRPr="00AC5C7E">
        <w:rPr>
          <w:lang w:val="fr-CA"/>
        </w:rPr>
        <w:t>m.i.,</w:t>
      </w:r>
      <w:proofErr w:type="gramEnd"/>
      <w:r w:rsidRPr="00AC5C7E">
        <w:rPr>
          <w:lang w:val="fr-CA"/>
        </w:rPr>
        <w:t xml:space="preserve"> </w:t>
      </w:r>
      <w:r>
        <w:rPr>
          <w:lang w:val="fr-CA"/>
        </w:rPr>
        <w:t>par. </w:t>
      </w:r>
      <w:r w:rsidRPr="00AC5C7E">
        <w:rPr>
          <w:lang w:val="fr-CA"/>
        </w:rPr>
        <w:t xml:space="preserve">4; voir aussi </w:t>
      </w:r>
      <w:r>
        <w:rPr>
          <w:lang w:val="fr-CA"/>
        </w:rPr>
        <w:t>par. </w:t>
      </w:r>
      <w:r w:rsidRPr="00AC5C7E">
        <w:rPr>
          <w:lang w:val="fr-CA"/>
        </w:rPr>
        <w:t>47.</w:t>
      </w:r>
      <w:r>
        <w:rPr>
          <w:lang w:val="fr-CA"/>
        </w:rPr>
        <w:t xml:space="preserve"> </w:t>
      </w:r>
    </w:p>
  </w:footnote>
  <w:footnote w:id="4">
    <w:p w:rsidR="00F92ACF" w:rsidRDefault="00F92ACF" w:rsidP="00CF3116">
      <w:pPr>
        <w:jc w:val="both"/>
        <w:rPr>
          <w:sz w:val="20"/>
          <w:lang w:eastAsia="fr-CA"/>
        </w:rPr>
      </w:pPr>
      <w:r>
        <w:rPr>
          <w:rStyle w:val="FootnoteReference"/>
          <w:sz w:val="20"/>
        </w:rPr>
        <w:footnoteRef/>
      </w:r>
      <w:r w:rsidRPr="00571328">
        <w:rPr>
          <w:sz w:val="20"/>
          <w:lang w:val="fr-CA"/>
        </w:rPr>
        <w:t xml:space="preserve"> Comparer la Carte 5-E-1 : Région visée par l’entente sur les répercussions et les avantages de grands projets économiques dans l’ouest (Relations Couronne-Autochtones et Affaires du Nord Canada, </w:t>
      </w:r>
      <w:r w:rsidRPr="00571328">
        <w:rPr>
          <w:i/>
          <w:iCs/>
          <w:sz w:val="20"/>
          <w:lang w:val="fr-CA"/>
        </w:rPr>
        <w:t>Entente de principe concernant les revendications territoriales des Innus du Labrador</w:t>
      </w:r>
      <w:r w:rsidRPr="00571328">
        <w:rPr>
          <w:sz w:val="20"/>
          <w:lang w:val="fr-CA"/>
        </w:rPr>
        <w:t xml:space="preserve">, dernière mise à jour 15 mars 2012 (en ligne), par. 91) avec la Carte du Nitassinan des Innus de Uashat Mak Mani-Utenam et de Matimekush-Lac John et la Carte de la Réserve à castor de Saguenay (division Sept-Îles) (d.a., vol. </w:t>
      </w:r>
      <w:r>
        <w:rPr>
          <w:sz w:val="20"/>
        </w:rPr>
        <w:t>II, p. 188-189).</w:t>
      </w:r>
    </w:p>
    <w:p w:rsidR="00F92ACF" w:rsidRDefault="00F92ACF" w:rsidP="00CF3116">
      <w:pPr>
        <w:pStyle w:val="FootnoteText"/>
        <w:ind w:left="0" w:firstLine="0"/>
      </w:pPr>
    </w:p>
  </w:footnote>
  <w:footnote w:id="5">
    <w:p w:rsidR="00F92ACF" w:rsidRDefault="00F92ACF" w:rsidP="00CF3116">
      <w:pPr>
        <w:jc w:val="both"/>
        <w:rPr>
          <w:sz w:val="20"/>
          <w:lang w:eastAsia="fr-CA"/>
        </w:rPr>
      </w:pPr>
      <w:r>
        <w:rPr>
          <w:rStyle w:val="FootnoteReference"/>
          <w:sz w:val="20"/>
        </w:rPr>
        <w:footnoteRef/>
      </w:r>
      <w:r>
        <w:rPr>
          <w:sz w:val="20"/>
        </w:rPr>
        <w:t xml:space="preserve"> Nunatukavut Community Council, </w:t>
      </w:r>
      <w:r>
        <w:rPr>
          <w:i/>
          <w:iCs/>
          <w:sz w:val="20"/>
        </w:rPr>
        <w:t>Memorandum of Understanding on Advancing Reconciliation</w:t>
      </w:r>
      <w:r>
        <w:rPr>
          <w:sz w:val="20"/>
        </w:rPr>
        <w:t>, 5 septembre 2019 (en ligne).</w:t>
      </w:r>
    </w:p>
    <w:p w:rsidR="00F92ACF" w:rsidRDefault="00F92ACF" w:rsidP="00CF3116">
      <w:pPr>
        <w:pStyle w:val="FootnoteText"/>
        <w:ind w:left="0" w:firstLine="0"/>
      </w:pPr>
    </w:p>
  </w:footnote>
  <w:footnote w:id="6">
    <w:p w:rsidR="00F92ACF" w:rsidRPr="001A308E" w:rsidRDefault="00F92ACF" w:rsidP="001A308E">
      <w:pPr>
        <w:jc w:val="both"/>
        <w:rPr>
          <w:sz w:val="20"/>
          <w:lang w:val="fr-CA" w:eastAsia="fr-CA"/>
        </w:rPr>
      </w:pPr>
      <w:r>
        <w:rPr>
          <w:rStyle w:val="FootnoteReference"/>
          <w:sz w:val="20"/>
        </w:rPr>
        <w:footnoteRef/>
      </w:r>
      <w:r w:rsidRPr="00571328">
        <w:rPr>
          <w:sz w:val="20"/>
          <w:lang w:val="fr-CA"/>
        </w:rPr>
        <w:t xml:space="preserve"> Comparer la carte du te</w:t>
      </w:r>
      <w:r>
        <w:rPr>
          <w:sz w:val="20"/>
          <w:lang w:val="fr-CA"/>
        </w:rPr>
        <w:t>rritoire traditionnel du NunatuK</w:t>
      </w:r>
      <w:r w:rsidRPr="00571328">
        <w:rPr>
          <w:sz w:val="20"/>
          <w:lang w:val="fr-CA"/>
        </w:rPr>
        <w:t xml:space="preserve">avut Community Council (NunatuKavut Community Council, </w:t>
      </w:r>
      <w:r w:rsidRPr="00571328">
        <w:rPr>
          <w:i/>
          <w:iCs/>
          <w:sz w:val="20"/>
          <w:lang w:val="fr-CA"/>
        </w:rPr>
        <w:t>Traditional Territory Map</w:t>
      </w:r>
      <w:r w:rsidRPr="00571328">
        <w:rPr>
          <w:sz w:val="20"/>
          <w:lang w:val="fr-CA"/>
        </w:rPr>
        <w:t>, dernière mise à jour 15 novembre 2019 (en ligne)) avec la Carte du Nitassinan des Innus de Uashat Mak Mani-Utenam et de Matimekush-Lac John et la Carte de la Réserve à castor de Saguenay (division Sept-Îles) (</w:t>
      </w:r>
      <w:proofErr w:type="gramStart"/>
      <w:r w:rsidRPr="00571328">
        <w:rPr>
          <w:sz w:val="20"/>
          <w:lang w:val="fr-CA"/>
        </w:rPr>
        <w:t>d.a.,</w:t>
      </w:r>
      <w:proofErr w:type="gramEnd"/>
      <w:r w:rsidRPr="00571328">
        <w:rPr>
          <w:sz w:val="20"/>
          <w:lang w:val="fr-CA"/>
        </w:rPr>
        <w:t xml:space="preserve"> vol. </w:t>
      </w:r>
      <w:r w:rsidRPr="009C7C67">
        <w:rPr>
          <w:sz w:val="20"/>
          <w:lang w:val="fr-CA"/>
        </w:rPr>
        <w:t>II, p. 188-189).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1C4E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D6DA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EAFB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14B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1CA5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9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885F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F2B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3AA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C07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B44EF"/>
    <w:multiLevelType w:val="hybridMultilevel"/>
    <w:tmpl w:val="11DC8B60"/>
    <w:lvl w:ilvl="0" w:tplc="CF4E612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86594E"/>
    <w:multiLevelType w:val="hybridMultilevel"/>
    <w:tmpl w:val="3154C14A"/>
    <w:lvl w:ilvl="0" w:tplc="D7649A56">
      <w:start w:val="1"/>
      <w:numFmt w:val="bullet"/>
      <w:lvlText w:val=""/>
      <w:lvlJc w:val="left"/>
      <w:pPr>
        <w:ind w:left="2704" w:hanging="360"/>
      </w:pPr>
      <w:rPr>
        <w:rFonts w:ascii="Symbol" w:hAnsi="Symbol" w:hint="default"/>
      </w:rPr>
    </w:lvl>
    <w:lvl w:ilvl="1" w:tplc="A7BEA584">
      <w:start w:val="1"/>
      <w:numFmt w:val="bullet"/>
      <w:lvlText w:val="-"/>
      <w:lvlJc w:val="left"/>
      <w:pPr>
        <w:ind w:left="1440" w:hanging="360"/>
      </w:pPr>
      <w:rPr>
        <w:rFonts w:ascii="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8F486E"/>
    <w:multiLevelType w:val="hybridMultilevel"/>
    <w:tmpl w:val="7798906C"/>
    <w:lvl w:ilvl="0" w:tplc="E402B9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E13BE"/>
    <w:multiLevelType w:val="multilevel"/>
    <w:tmpl w:val="B9B83742"/>
    <w:lvl w:ilvl="0">
      <w:start w:val="3"/>
      <w:numFmt w:val="bullet"/>
      <w:pStyle w:val="Bullets"/>
      <w:lvlText w:val="-"/>
      <w:lvlJc w:val="left"/>
      <w:pPr>
        <w:tabs>
          <w:tab w:val="num" w:pos="1152"/>
        </w:tabs>
        <w:ind w:left="0" w:firstLine="0"/>
      </w:pPr>
      <w:rPr>
        <w:rFonts w:ascii="Times New Roman" w:eastAsiaTheme="minorEastAsia" w:hAnsi="Times New Roman"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71CE679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C92E7F"/>
    <w:multiLevelType w:val="hybridMultilevel"/>
    <w:tmpl w:val="D926468A"/>
    <w:lvl w:ilvl="0" w:tplc="882C8C38">
      <w:start w:val="1"/>
      <w:numFmt w:val="decimal"/>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21" w15:restartNumberingAfterBreak="0">
    <w:nsid w:val="62A51651"/>
    <w:multiLevelType w:val="hybridMultilevel"/>
    <w:tmpl w:val="3AA4380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A80329"/>
    <w:multiLevelType w:val="hybridMultilevel"/>
    <w:tmpl w:val="B03C5BB6"/>
    <w:lvl w:ilvl="0" w:tplc="3D3472CE">
      <w:start w:val="1"/>
      <w:numFmt w:val="decimal"/>
      <w:lvlText w:val="%1)"/>
      <w:lvlJc w:val="left"/>
      <w:pPr>
        <w:ind w:left="1530"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4" w15:restartNumberingAfterBreak="0">
    <w:nsid w:val="6D070163"/>
    <w:multiLevelType w:val="hybridMultilevel"/>
    <w:tmpl w:val="DFF8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C6B8A"/>
    <w:multiLevelType w:val="hybridMultilevel"/>
    <w:tmpl w:val="B7105084"/>
    <w:lvl w:ilvl="0" w:tplc="6838AB04">
      <w:start w:val="10"/>
      <w:numFmt w:val="bullet"/>
      <w:pStyle w:val="ListParagraph"/>
      <w:lvlText w:val="-"/>
      <w:lvlJc w:val="left"/>
      <w:pPr>
        <w:ind w:left="360" w:hanging="360"/>
      </w:pPr>
      <w:rPr>
        <w:rFonts w:ascii="Times New Roman" w:eastAsia="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22"/>
  </w:num>
  <w:num w:numId="4">
    <w:abstractNumId w:val="12"/>
  </w:num>
  <w:num w:numId="5">
    <w:abstractNumId w:val="11"/>
  </w:num>
  <w:num w:numId="6">
    <w:abstractNumId w:val="17"/>
  </w:num>
  <w:num w:numId="7">
    <w:abstractNumId w:val="18"/>
  </w:num>
  <w:num w:numId="8">
    <w:abstractNumId w:val="16"/>
  </w:num>
  <w:num w:numId="9">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5"/>
  </w:num>
  <w:num w:numId="11">
    <w:abstractNumId w:val="25"/>
  </w:num>
  <w:num w:numId="12">
    <w:abstractNumId w:val="21"/>
  </w:num>
  <w:num w:numId="13">
    <w:abstractNumId w:val="8"/>
  </w:num>
  <w:num w:numId="14">
    <w:abstractNumId w:val="10"/>
  </w:num>
  <w:num w:numId="15">
    <w:abstractNumId w:val="1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20"/>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 w:numId="27">
    <w:abstractNumId w:val="13"/>
  </w:num>
  <w:num w:numId="28">
    <w:abstractNumId w:val="23"/>
  </w:num>
  <w:num w:numId="29">
    <w:abstractNumId w:val="16"/>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2136"/>
          </w:tabs>
          <w:ind w:left="2136"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30">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removePersonalInformation/>
  <w:removeDateAndTime/>
  <w:doNotDisplayPageBoundaries/>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C10"/>
    <w:rsid w:val="0001211B"/>
    <w:rsid w:val="000123D1"/>
    <w:rsid w:val="00014F00"/>
    <w:rsid w:val="00016431"/>
    <w:rsid w:val="000218B1"/>
    <w:rsid w:val="00023FC7"/>
    <w:rsid w:val="00025198"/>
    <w:rsid w:val="00025B32"/>
    <w:rsid w:val="00035A65"/>
    <w:rsid w:val="0004355F"/>
    <w:rsid w:val="000464A8"/>
    <w:rsid w:val="000578A3"/>
    <w:rsid w:val="000623A1"/>
    <w:rsid w:val="000648CC"/>
    <w:rsid w:val="00065413"/>
    <w:rsid w:val="00066D03"/>
    <w:rsid w:val="0006778F"/>
    <w:rsid w:val="00070DC3"/>
    <w:rsid w:val="0007539D"/>
    <w:rsid w:val="00077BEC"/>
    <w:rsid w:val="00084599"/>
    <w:rsid w:val="000862B0"/>
    <w:rsid w:val="000909FB"/>
    <w:rsid w:val="0009143D"/>
    <w:rsid w:val="000916C5"/>
    <w:rsid w:val="00093A81"/>
    <w:rsid w:val="0009405C"/>
    <w:rsid w:val="000A1C18"/>
    <w:rsid w:val="000A2AD8"/>
    <w:rsid w:val="000A2C73"/>
    <w:rsid w:val="000B385A"/>
    <w:rsid w:val="000C1B35"/>
    <w:rsid w:val="000C37D8"/>
    <w:rsid w:val="000C3DDC"/>
    <w:rsid w:val="000C59B8"/>
    <w:rsid w:val="000C6AF0"/>
    <w:rsid w:val="000C768E"/>
    <w:rsid w:val="000D039C"/>
    <w:rsid w:val="000D0A77"/>
    <w:rsid w:val="000D1FBC"/>
    <w:rsid w:val="000D363E"/>
    <w:rsid w:val="000D51EF"/>
    <w:rsid w:val="000D7722"/>
    <w:rsid w:val="000F1E34"/>
    <w:rsid w:val="000F701F"/>
    <w:rsid w:val="000F7993"/>
    <w:rsid w:val="00103A53"/>
    <w:rsid w:val="00104F33"/>
    <w:rsid w:val="00111DE2"/>
    <w:rsid w:val="00116B38"/>
    <w:rsid w:val="001208A9"/>
    <w:rsid w:val="00125367"/>
    <w:rsid w:val="00126030"/>
    <w:rsid w:val="001272E0"/>
    <w:rsid w:val="001347A5"/>
    <w:rsid w:val="0013490F"/>
    <w:rsid w:val="001351AA"/>
    <w:rsid w:val="00135406"/>
    <w:rsid w:val="00135972"/>
    <w:rsid w:val="00136AE6"/>
    <w:rsid w:val="0013795C"/>
    <w:rsid w:val="001426A9"/>
    <w:rsid w:val="00144831"/>
    <w:rsid w:val="00153DE8"/>
    <w:rsid w:val="00154D7C"/>
    <w:rsid w:val="001570B0"/>
    <w:rsid w:val="0015752C"/>
    <w:rsid w:val="00157737"/>
    <w:rsid w:val="00161114"/>
    <w:rsid w:val="0016296D"/>
    <w:rsid w:val="00165277"/>
    <w:rsid w:val="00170592"/>
    <w:rsid w:val="0017073B"/>
    <w:rsid w:val="001720F7"/>
    <w:rsid w:val="001759C6"/>
    <w:rsid w:val="0017694A"/>
    <w:rsid w:val="00184D08"/>
    <w:rsid w:val="00185A4B"/>
    <w:rsid w:val="00190C1F"/>
    <w:rsid w:val="00191E3E"/>
    <w:rsid w:val="001935D8"/>
    <w:rsid w:val="00194230"/>
    <w:rsid w:val="00195D83"/>
    <w:rsid w:val="00197363"/>
    <w:rsid w:val="0019745F"/>
    <w:rsid w:val="001A00C1"/>
    <w:rsid w:val="001A0377"/>
    <w:rsid w:val="001A308E"/>
    <w:rsid w:val="001A59A0"/>
    <w:rsid w:val="001B1552"/>
    <w:rsid w:val="001B33E0"/>
    <w:rsid w:val="001B354F"/>
    <w:rsid w:val="001B4573"/>
    <w:rsid w:val="001B4677"/>
    <w:rsid w:val="001B6C73"/>
    <w:rsid w:val="001C31FE"/>
    <w:rsid w:val="001C779F"/>
    <w:rsid w:val="001D2AC1"/>
    <w:rsid w:val="001D4E88"/>
    <w:rsid w:val="001D7119"/>
    <w:rsid w:val="001E012F"/>
    <w:rsid w:val="001E6765"/>
    <w:rsid w:val="001F03A4"/>
    <w:rsid w:val="001F26EF"/>
    <w:rsid w:val="002001F3"/>
    <w:rsid w:val="00202683"/>
    <w:rsid w:val="002044B6"/>
    <w:rsid w:val="002050E2"/>
    <w:rsid w:val="002053EB"/>
    <w:rsid w:val="00211435"/>
    <w:rsid w:val="00212737"/>
    <w:rsid w:val="00213571"/>
    <w:rsid w:val="00215CB0"/>
    <w:rsid w:val="002179C9"/>
    <w:rsid w:val="00220C39"/>
    <w:rsid w:val="00220C6E"/>
    <w:rsid w:val="00220FC2"/>
    <w:rsid w:val="002222F4"/>
    <w:rsid w:val="00223C80"/>
    <w:rsid w:val="00224FC0"/>
    <w:rsid w:val="00225A39"/>
    <w:rsid w:val="00225EA4"/>
    <w:rsid w:val="00226C15"/>
    <w:rsid w:val="00226EAF"/>
    <w:rsid w:val="00230E65"/>
    <w:rsid w:val="00231F3A"/>
    <w:rsid w:val="00232AA0"/>
    <w:rsid w:val="002331B0"/>
    <w:rsid w:val="002406EE"/>
    <w:rsid w:val="00242FD8"/>
    <w:rsid w:val="00243EC8"/>
    <w:rsid w:val="00245208"/>
    <w:rsid w:val="002455AB"/>
    <w:rsid w:val="0024561C"/>
    <w:rsid w:val="00245909"/>
    <w:rsid w:val="00245F82"/>
    <w:rsid w:val="002473B6"/>
    <w:rsid w:val="00253909"/>
    <w:rsid w:val="0025594B"/>
    <w:rsid w:val="002574CF"/>
    <w:rsid w:val="00263023"/>
    <w:rsid w:val="00265DD4"/>
    <w:rsid w:val="00270819"/>
    <w:rsid w:val="00270D93"/>
    <w:rsid w:val="00273A0C"/>
    <w:rsid w:val="002745CC"/>
    <w:rsid w:val="00285B30"/>
    <w:rsid w:val="00287375"/>
    <w:rsid w:val="00291F16"/>
    <w:rsid w:val="002A0768"/>
    <w:rsid w:val="002A33E7"/>
    <w:rsid w:val="002A7B13"/>
    <w:rsid w:val="002B1FDD"/>
    <w:rsid w:val="002B4C86"/>
    <w:rsid w:val="002B5501"/>
    <w:rsid w:val="002B6FBE"/>
    <w:rsid w:val="002B7924"/>
    <w:rsid w:val="002C10A6"/>
    <w:rsid w:val="002C13E8"/>
    <w:rsid w:val="002C2F94"/>
    <w:rsid w:val="002D0A73"/>
    <w:rsid w:val="002D0F07"/>
    <w:rsid w:val="002D28C3"/>
    <w:rsid w:val="002D39A4"/>
    <w:rsid w:val="002D3F8A"/>
    <w:rsid w:val="002D580C"/>
    <w:rsid w:val="002E36DA"/>
    <w:rsid w:val="002E6705"/>
    <w:rsid w:val="002F00A1"/>
    <w:rsid w:val="002F31B6"/>
    <w:rsid w:val="0030329A"/>
    <w:rsid w:val="00305729"/>
    <w:rsid w:val="0031086F"/>
    <w:rsid w:val="0031414C"/>
    <w:rsid w:val="00314E01"/>
    <w:rsid w:val="003150C5"/>
    <w:rsid w:val="0032089D"/>
    <w:rsid w:val="003310DE"/>
    <w:rsid w:val="003323B0"/>
    <w:rsid w:val="003324C4"/>
    <w:rsid w:val="00333C9B"/>
    <w:rsid w:val="00340A49"/>
    <w:rsid w:val="003437B7"/>
    <w:rsid w:val="00344B9D"/>
    <w:rsid w:val="00345C1A"/>
    <w:rsid w:val="00350519"/>
    <w:rsid w:val="0035169A"/>
    <w:rsid w:val="0035259D"/>
    <w:rsid w:val="00356576"/>
    <w:rsid w:val="00360341"/>
    <w:rsid w:val="0036036D"/>
    <w:rsid w:val="003617B5"/>
    <w:rsid w:val="00364B18"/>
    <w:rsid w:val="003673B7"/>
    <w:rsid w:val="00374117"/>
    <w:rsid w:val="003748D3"/>
    <w:rsid w:val="00380430"/>
    <w:rsid w:val="00381B0E"/>
    <w:rsid w:val="00391284"/>
    <w:rsid w:val="00393C6D"/>
    <w:rsid w:val="003953EE"/>
    <w:rsid w:val="00397788"/>
    <w:rsid w:val="00397A38"/>
    <w:rsid w:val="003A125D"/>
    <w:rsid w:val="003A26F7"/>
    <w:rsid w:val="003A4C70"/>
    <w:rsid w:val="003A5333"/>
    <w:rsid w:val="003A7D90"/>
    <w:rsid w:val="003A7FFB"/>
    <w:rsid w:val="003B1F28"/>
    <w:rsid w:val="003B215F"/>
    <w:rsid w:val="003B2886"/>
    <w:rsid w:val="003B4EC7"/>
    <w:rsid w:val="003B6412"/>
    <w:rsid w:val="003C1076"/>
    <w:rsid w:val="003C3B37"/>
    <w:rsid w:val="003C799C"/>
    <w:rsid w:val="003C7FA9"/>
    <w:rsid w:val="003D0399"/>
    <w:rsid w:val="003D0FB4"/>
    <w:rsid w:val="003D354B"/>
    <w:rsid w:val="003D560D"/>
    <w:rsid w:val="003D7347"/>
    <w:rsid w:val="003E1C71"/>
    <w:rsid w:val="003F24BA"/>
    <w:rsid w:val="003F327B"/>
    <w:rsid w:val="003F58C9"/>
    <w:rsid w:val="003F6064"/>
    <w:rsid w:val="004015C1"/>
    <w:rsid w:val="00405624"/>
    <w:rsid w:val="00405C22"/>
    <w:rsid w:val="00406166"/>
    <w:rsid w:val="0040704B"/>
    <w:rsid w:val="00410A55"/>
    <w:rsid w:val="00410C3D"/>
    <w:rsid w:val="00411300"/>
    <w:rsid w:val="00411A51"/>
    <w:rsid w:val="004130FE"/>
    <w:rsid w:val="00413F17"/>
    <w:rsid w:val="00414B8C"/>
    <w:rsid w:val="00414BDF"/>
    <w:rsid w:val="00415417"/>
    <w:rsid w:val="0042097C"/>
    <w:rsid w:val="00426659"/>
    <w:rsid w:val="004303EA"/>
    <w:rsid w:val="00430868"/>
    <w:rsid w:val="004342BF"/>
    <w:rsid w:val="00443FD4"/>
    <w:rsid w:val="00450352"/>
    <w:rsid w:val="0045363F"/>
    <w:rsid w:val="00454BDB"/>
    <w:rsid w:val="00465132"/>
    <w:rsid w:val="0046549F"/>
    <w:rsid w:val="0046574C"/>
    <w:rsid w:val="004662B9"/>
    <w:rsid w:val="00470B6B"/>
    <w:rsid w:val="00473AF1"/>
    <w:rsid w:val="00477C3B"/>
    <w:rsid w:val="00480C90"/>
    <w:rsid w:val="004827CC"/>
    <w:rsid w:val="0048396F"/>
    <w:rsid w:val="00483B22"/>
    <w:rsid w:val="0048573B"/>
    <w:rsid w:val="00486F71"/>
    <w:rsid w:val="004919B1"/>
    <w:rsid w:val="00491FB6"/>
    <w:rsid w:val="00492DA8"/>
    <w:rsid w:val="00493C18"/>
    <w:rsid w:val="00495971"/>
    <w:rsid w:val="004A600C"/>
    <w:rsid w:val="004A6118"/>
    <w:rsid w:val="004B111C"/>
    <w:rsid w:val="004B4CDB"/>
    <w:rsid w:val="004B73B9"/>
    <w:rsid w:val="004C12C4"/>
    <w:rsid w:val="004C2BA5"/>
    <w:rsid w:val="004C3F96"/>
    <w:rsid w:val="004C478D"/>
    <w:rsid w:val="004C688B"/>
    <w:rsid w:val="004D18E9"/>
    <w:rsid w:val="004D7D95"/>
    <w:rsid w:val="004E02CA"/>
    <w:rsid w:val="004E2C26"/>
    <w:rsid w:val="004F2F8C"/>
    <w:rsid w:val="004F5353"/>
    <w:rsid w:val="004F641A"/>
    <w:rsid w:val="004F6A42"/>
    <w:rsid w:val="00504060"/>
    <w:rsid w:val="00510DA5"/>
    <w:rsid w:val="005123C2"/>
    <w:rsid w:val="005125A8"/>
    <w:rsid w:val="00517549"/>
    <w:rsid w:val="00520ABC"/>
    <w:rsid w:val="00521AE8"/>
    <w:rsid w:val="005242B4"/>
    <w:rsid w:val="00525DEF"/>
    <w:rsid w:val="00527180"/>
    <w:rsid w:val="00533A54"/>
    <w:rsid w:val="00537726"/>
    <w:rsid w:val="005377B2"/>
    <w:rsid w:val="00540D4C"/>
    <w:rsid w:val="00540E86"/>
    <w:rsid w:val="005419CE"/>
    <w:rsid w:val="00555291"/>
    <w:rsid w:val="00566AD1"/>
    <w:rsid w:val="00570EAE"/>
    <w:rsid w:val="00580B41"/>
    <w:rsid w:val="00583EDE"/>
    <w:rsid w:val="00594D3B"/>
    <w:rsid w:val="00596DA3"/>
    <w:rsid w:val="005A55C1"/>
    <w:rsid w:val="005A6079"/>
    <w:rsid w:val="005A64DB"/>
    <w:rsid w:val="005B09EB"/>
    <w:rsid w:val="005B57DE"/>
    <w:rsid w:val="005C038F"/>
    <w:rsid w:val="005C0F36"/>
    <w:rsid w:val="005C62E8"/>
    <w:rsid w:val="005D0B5D"/>
    <w:rsid w:val="005D7E55"/>
    <w:rsid w:val="005E28C4"/>
    <w:rsid w:val="005E4698"/>
    <w:rsid w:val="005E59DF"/>
    <w:rsid w:val="005E66E3"/>
    <w:rsid w:val="005F5DAE"/>
    <w:rsid w:val="00603924"/>
    <w:rsid w:val="00610539"/>
    <w:rsid w:val="0061354C"/>
    <w:rsid w:val="00613969"/>
    <w:rsid w:val="0061412E"/>
    <w:rsid w:val="006144F5"/>
    <w:rsid w:val="00621080"/>
    <w:rsid w:val="006214BA"/>
    <w:rsid w:val="00622A7A"/>
    <w:rsid w:val="00625C35"/>
    <w:rsid w:val="00625CEB"/>
    <w:rsid w:val="00627B5E"/>
    <w:rsid w:val="00635C39"/>
    <w:rsid w:val="00642DB5"/>
    <w:rsid w:val="00642F1F"/>
    <w:rsid w:val="006445BD"/>
    <w:rsid w:val="00647E49"/>
    <w:rsid w:val="0065265A"/>
    <w:rsid w:val="00656313"/>
    <w:rsid w:val="006565F4"/>
    <w:rsid w:val="0065691B"/>
    <w:rsid w:val="00662513"/>
    <w:rsid w:val="0066594D"/>
    <w:rsid w:val="00667823"/>
    <w:rsid w:val="00672052"/>
    <w:rsid w:val="0067635C"/>
    <w:rsid w:val="006778F3"/>
    <w:rsid w:val="006829B0"/>
    <w:rsid w:val="00684EEA"/>
    <w:rsid w:val="0069689B"/>
    <w:rsid w:val="006A3105"/>
    <w:rsid w:val="006A4896"/>
    <w:rsid w:val="006B5A33"/>
    <w:rsid w:val="006B5FF5"/>
    <w:rsid w:val="006D20EA"/>
    <w:rsid w:val="006F30AF"/>
    <w:rsid w:val="006F3323"/>
    <w:rsid w:val="006F520A"/>
    <w:rsid w:val="006F62F1"/>
    <w:rsid w:val="00701601"/>
    <w:rsid w:val="00701759"/>
    <w:rsid w:val="00705C15"/>
    <w:rsid w:val="00710D28"/>
    <w:rsid w:val="007110F6"/>
    <w:rsid w:val="00712815"/>
    <w:rsid w:val="00714FDB"/>
    <w:rsid w:val="00715183"/>
    <w:rsid w:val="00717C76"/>
    <w:rsid w:val="007208D1"/>
    <w:rsid w:val="007247E1"/>
    <w:rsid w:val="00730974"/>
    <w:rsid w:val="00744518"/>
    <w:rsid w:val="007464E4"/>
    <w:rsid w:val="00747288"/>
    <w:rsid w:val="00747DD3"/>
    <w:rsid w:val="007549C8"/>
    <w:rsid w:val="00755073"/>
    <w:rsid w:val="00755547"/>
    <w:rsid w:val="0075747E"/>
    <w:rsid w:val="00762F8F"/>
    <w:rsid w:val="00766D14"/>
    <w:rsid w:val="00767A0F"/>
    <w:rsid w:val="00767D78"/>
    <w:rsid w:val="00770490"/>
    <w:rsid w:val="0077107D"/>
    <w:rsid w:val="00771C5F"/>
    <w:rsid w:val="007722EF"/>
    <w:rsid w:val="00781A5E"/>
    <w:rsid w:val="00782BAD"/>
    <w:rsid w:val="007833EA"/>
    <w:rsid w:val="00783400"/>
    <w:rsid w:val="007877B9"/>
    <w:rsid w:val="007901BC"/>
    <w:rsid w:val="00791272"/>
    <w:rsid w:val="0079530B"/>
    <w:rsid w:val="00797F1D"/>
    <w:rsid w:val="007A05F6"/>
    <w:rsid w:val="007A3A7D"/>
    <w:rsid w:val="007A4ADC"/>
    <w:rsid w:val="007A7C4F"/>
    <w:rsid w:val="007B64F7"/>
    <w:rsid w:val="007B6F4A"/>
    <w:rsid w:val="007C4A5B"/>
    <w:rsid w:val="007C6064"/>
    <w:rsid w:val="007C6076"/>
    <w:rsid w:val="007C7C18"/>
    <w:rsid w:val="007D2D63"/>
    <w:rsid w:val="007D45E6"/>
    <w:rsid w:val="007D5F1C"/>
    <w:rsid w:val="007D61E4"/>
    <w:rsid w:val="007E1C47"/>
    <w:rsid w:val="007E337A"/>
    <w:rsid w:val="007E5C70"/>
    <w:rsid w:val="007E73A2"/>
    <w:rsid w:val="007F00F5"/>
    <w:rsid w:val="007F2FF5"/>
    <w:rsid w:val="007F3B32"/>
    <w:rsid w:val="007F3F08"/>
    <w:rsid w:val="007F5847"/>
    <w:rsid w:val="00802EDE"/>
    <w:rsid w:val="00804CC6"/>
    <w:rsid w:val="00816BBB"/>
    <w:rsid w:val="00817190"/>
    <w:rsid w:val="00817F89"/>
    <w:rsid w:val="008260E2"/>
    <w:rsid w:val="008322BD"/>
    <w:rsid w:val="00833C28"/>
    <w:rsid w:val="00834F73"/>
    <w:rsid w:val="00835604"/>
    <w:rsid w:val="0084295C"/>
    <w:rsid w:val="008433FD"/>
    <w:rsid w:val="00850804"/>
    <w:rsid w:val="00855F89"/>
    <w:rsid w:val="00856A0B"/>
    <w:rsid w:val="00860B32"/>
    <w:rsid w:val="00862DD4"/>
    <w:rsid w:val="008635FF"/>
    <w:rsid w:val="00863784"/>
    <w:rsid w:val="00864C8A"/>
    <w:rsid w:val="00864CF8"/>
    <w:rsid w:val="00867CAC"/>
    <w:rsid w:val="008731A5"/>
    <w:rsid w:val="00874914"/>
    <w:rsid w:val="00875DC0"/>
    <w:rsid w:val="00882063"/>
    <w:rsid w:val="00885379"/>
    <w:rsid w:val="00891422"/>
    <w:rsid w:val="00892E1A"/>
    <w:rsid w:val="00893DEF"/>
    <w:rsid w:val="00893E58"/>
    <w:rsid w:val="00896092"/>
    <w:rsid w:val="008961FD"/>
    <w:rsid w:val="008A3867"/>
    <w:rsid w:val="008A547D"/>
    <w:rsid w:val="008A5FBC"/>
    <w:rsid w:val="008B0903"/>
    <w:rsid w:val="008B19D5"/>
    <w:rsid w:val="008B2094"/>
    <w:rsid w:val="008B26F6"/>
    <w:rsid w:val="008B60DE"/>
    <w:rsid w:val="008B660A"/>
    <w:rsid w:val="008C01DA"/>
    <w:rsid w:val="008C0BA6"/>
    <w:rsid w:val="008C343B"/>
    <w:rsid w:val="008C5C3A"/>
    <w:rsid w:val="008C7C32"/>
    <w:rsid w:val="008D1B42"/>
    <w:rsid w:val="008D491D"/>
    <w:rsid w:val="008E0F6D"/>
    <w:rsid w:val="008E4759"/>
    <w:rsid w:val="008E6A86"/>
    <w:rsid w:val="008F2674"/>
    <w:rsid w:val="008F3110"/>
    <w:rsid w:val="008F6FEC"/>
    <w:rsid w:val="008F78E9"/>
    <w:rsid w:val="009007B1"/>
    <w:rsid w:val="00902156"/>
    <w:rsid w:val="00905C62"/>
    <w:rsid w:val="00905E01"/>
    <w:rsid w:val="00906845"/>
    <w:rsid w:val="009179F9"/>
    <w:rsid w:val="00917C7A"/>
    <w:rsid w:val="00933E5E"/>
    <w:rsid w:val="00935218"/>
    <w:rsid w:val="00937C52"/>
    <w:rsid w:val="009403F3"/>
    <w:rsid w:val="009444DB"/>
    <w:rsid w:val="009471AB"/>
    <w:rsid w:val="00950097"/>
    <w:rsid w:val="00950DE9"/>
    <w:rsid w:val="009515AA"/>
    <w:rsid w:val="009555B7"/>
    <w:rsid w:val="0095567B"/>
    <w:rsid w:val="009567AA"/>
    <w:rsid w:val="00956E2D"/>
    <w:rsid w:val="00957B91"/>
    <w:rsid w:val="009602C9"/>
    <w:rsid w:val="00962D1D"/>
    <w:rsid w:val="00963ED8"/>
    <w:rsid w:val="00964CB3"/>
    <w:rsid w:val="00967374"/>
    <w:rsid w:val="009703B6"/>
    <w:rsid w:val="0097472A"/>
    <w:rsid w:val="00974E79"/>
    <w:rsid w:val="00975FBC"/>
    <w:rsid w:val="00976D72"/>
    <w:rsid w:val="00981D31"/>
    <w:rsid w:val="00987592"/>
    <w:rsid w:val="00996B09"/>
    <w:rsid w:val="00996CC6"/>
    <w:rsid w:val="009A343A"/>
    <w:rsid w:val="009A6C3D"/>
    <w:rsid w:val="009B2F23"/>
    <w:rsid w:val="009B3318"/>
    <w:rsid w:val="009B3DB7"/>
    <w:rsid w:val="009B5394"/>
    <w:rsid w:val="009B57B3"/>
    <w:rsid w:val="009B5B9D"/>
    <w:rsid w:val="009C12DF"/>
    <w:rsid w:val="009D2920"/>
    <w:rsid w:val="009D5AEB"/>
    <w:rsid w:val="009D793B"/>
    <w:rsid w:val="009E20FD"/>
    <w:rsid w:val="009E2F25"/>
    <w:rsid w:val="009F0E33"/>
    <w:rsid w:val="009F54F7"/>
    <w:rsid w:val="009F72D8"/>
    <w:rsid w:val="00A1047D"/>
    <w:rsid w:val="00A10699"/>
    <w:rsid w:val="00A149DF"/>
    <w:rsid w:val="00A1755C"/>
    <w:rsid w:val="00A17B5B"/>
    <w:rsid w:val="00A216DA"/>
    <w:rsid w:val="00A2179F"/>
    <w:rsid w:val="00A21B90"/>
    <w:rsid w:val="00A22AAC"/>
    <w:rsid w:val="00A23DC1"/>
    <w:rsid w:val="00A30A84"/>
    <w:rsid w:val="00A31468"/>
    <w:rsid w:val="00A37A7D"/>
    <w:rsid w:val="00A41805"/>
    <w:rsid w:val="00A43131"/>
    <w:rsid w:val="00A455EE"/>
    <w:rsid w:val="00A47D8A"/>
    <w:rsid w:val="00A5106C"/>
    <w:rsid w:val="00A51882"/>
    <w:rsid w:val="00A52487"/>
    <w:rsid w:val="00A52AFB"/>
    <w:rsid w:val="00A547E6"/>
    <w:rsid w:val="00A548CB"/>
    <w:rsid w:val="00A5521C"/>
    <w:rsid w:val="00A55AB3"/>
    <w:rsid w:val="00A60D5C"/>
    <w:rsid w:val="00A643E7"/>
    <w:rsid w:val="00A64429"/>
    <w:rsid w:val="00A6524A"/>
    <w:rsid w:val="00A67B8A"/>
    <w:rsid w:val="00A71E89"/>
    <w:rsid w:val="00A72557"/>
    <w:rsid w:val="00A734C5"/>
    <w:rsid w:val="00A7391F"/>
    <w:rsid w:val="00A73C38"/>
    <w:rsid w:val="00A749AD"/>
    <w:rsid w:val="00A77A5E"/>
    <w:rsid w:val="00A86AD7"/>
    <w:rsid w:val="00A921A7"/>
    <w:rsid w:val="00AB1F29"/>
    <w:rsid w:val="00AB425C"/>
    <w:rsid w:val="00AB4954"/>
    <w:rsid w:val="00AB588F"/>
    <w:rsid w:val="00AB670D"/>
    <w:rsid w:val="00AC1343"/>
    <w:rsid w:val="00AC29B8"/>
    <w:rsid w:val="00AC417D"/>
    <w:rsid w:val="00AC6366"/>
    <w:rsid w:val="00AC7609"/>
    <w:rsid w:val="00AD24F1"/>
    <w:rsid w:val="00AD3EED"/>
    <w:rsid w:val="00AD72A5"/>
    <w:rsid w:val="00AE1B9E"/>
    <w:rsid w:val="00AF03A2"/>
    <w:rsid w:val="00AF03C5"/>
    <w:rsid w:val="00AF384B"/>
    <w:rsid w:val="00AF4ADF"/>
    <w:rsid w:val="00AF769C"/>
    <w:rsid w:val="00B000D8"/>
    <w:rsid w:val="00B00F75"/>
    <w:rsid w:val="00B06523"/>
    <w:rsid w:val="00B06F17"/>
    <w:rsid w:val="00B1425F"/>
    <w:rsid w:val="00B145B6"/>
    <w:rsid w:val="00B152CD"/>
    <w:rsid w:val="00B20F9B"/>
    <w:rsid w:val="00B279EB"/>
    <w:rsid w:val="00B27BE5"/>
    <w:rsid w:val="00B27FD7"/>
    <w:rsid w:val="00B30AF7"/>
    <w:rsid w:val="00B366B0"/>
    <w:rsid w:val="00B3710B"/>
    <w:rsid w:val="00B40628"/>
    <w:rsid w:val="00B41336"/>
    <w:rsid w:val="00B46713"/>
    <w:rsid w:val="00B50C81"/>
    <w:rsid w:val="00B53269"/>
    <w:rsid w:val="00B53A54"/>
    <w:rsid w:val="00B557F8"/>
    <w:rsid w:val="00B601E6"/>
    <w:rsid w:val="00B60F88"/>
    <w:rsid w:val="00B61E8C"/>
    <w:rsid w:val="00B815FC"/>
    <w:rsid w:val="00B820BA"/>
    <w:rsid w:val="00B8437D"/>
    <w:rsid w:val="00B91369"/>
    <w:rsid w:val="00B93FBC"/>
    <w:rsid w:val="00BA328E"/>
    <w:rsid w:val="00BA3593"/>
    <w:rsid w:val="00BA5FC0"/>
    <w:rsid w:val="00BA7DA0"/>
    <w:rsid w:val="00BB255E"/>
    <w:rsid w:val="00BB2EE4"/>
    <w:rsid w:val="00BB4C92"/>
    <w:rsid w:val="00BC2108"/>
    <w:rsid w:val="00BC247A"/>
    <w:rsid w:val="00BC260F"/>
    <w:rsid w:val="00BD0E9E"/>
    <w:rsid w:val="00BD1BEC"/>
    <w:rsid w:val="00BD32FF"/>
    <w:rsid w:val="00BD63F9"/>
    <w:rsid w:val="00BE000E"/>
    <w:rsid w:val="00BF512E"/>
    <w:rsid w:val="00BF6FE9"/>
    <w:rsid w:val="00C02092"/>
    <w:rsid w:val="00C02FAE"/>
    <w:rsid w:val="00C04D6C"/>
    <w:rsid w:val="00C059DA"/>
    <w:rsid w:val="00C05B8D"/>
    <w:rsid w:val="00C065CC"/>
    <w:rsid w:val="00C076E3"/>
    <w:rsid w:val="00C102BA"/>
    <w:rsid w:val="00C2156C"/>
    <w:rsid w:val="00C22129"/>
    <w:rsid w:val="00C228FC"/>
    <w:rsid w:val="00C248DF"/>
    <w:rsid w:val="00C24D91"/>
    <w:rsid w:val="00C26DB2"/>
    <w:rsid w:val="00C30D58"/>
    <w:rsid w:val="00C34E9A"/>
    <w:rsid w:val="00C4027D"/>
    <w:rsid w:val="00C408FF"/>
    <w:rsid w:val="00C50009"/>
    <w:rsid w:val="00C520CA"/>
    <w:rsid w:val="00C53F14"/>
    <w:rsid w:val="00C54589"/>
    <w:rsid w:val="00C600CF"/>
    <w:rsid w:val="00C6084F"/>
    <w:rsid w:val="00C62A66"/>
    <w:rsid w:val="00C63299"/>
    <w:rsid w:val="00C64452"/>
    <w:rsid w:val="00C65285"/>
    <w:rsid w:val="00C65F2E"/>
    <w:rsid w:val="00C66359"/>
    <w:rsid w:val="00C66F60"/>
    <w:rsid w:val="00C675F7"/>
    <w:rsid w:val="00C70E7E"/>
    <w:rsid w:val="00C71458"/>
    <w:rsid w:val="00C77613"/>
    <w:rsid w:val="00C82530"/>
    <w:rsid w:val="00C828E7"/>
    <w:rsid w:val="00C8389E"/>
    <w:rsid w:val="00C83B09"/>
    <w:rsid w:val="00C849CC"/>
    <w:rsid w:val="00C86719"/>
    <w:rsid w:val="00C920E1"/>
    <w:rsid w:val="00C921DD"/>
    <w:rsid w:val="00C92EF4"/>
    <w:rsid w:val="00CA1B7E"/>
    <w:rsid w:val="00CA1F3D"/>
    <w:rsid w:val="00CA4392"/>
    <w:rsid w:val="00CA52C4"/>
    <w:rsid w:val="00CA6391"/>
    <w:rsid w:val="00CA67C1"/>
    <w:rsid w:val="00CA77BE"/>
    <w:rsid w:val="00CA7807"/>
    <w:rsid w:val="00CB67CA"/>
    <w:rsid w:val="00CC0CE4"/>
    <w:rsid w:val="00CC6234"/>
    <w:rsid w:val="00CD1AB8"/>
    <w:rsid w:val="00CD4CBF"/>
    <w:rsid w:val="00CD5094"/>
    <w:rsid w:val="00CE036E"/>
    <w:rsid w:val="00CE1474"/>
    <w:rsid w:val="00CE2AAB"/>
    <w:rsid w:val="00CE3171"/>
    <w:rsid w:val="00CE77DD"/>
    <w:rsid w:val="00CF1601"/>
    <w:rsid w:val="00CF3116"/>
    <w:rsid w:val="00CF4E1E"/>
    <w:rsid w:val="00CF7C45"/>
    <w:rsid w:val="00D0172F"/>
    <w:rsid w:val="00D01E33"/>
    <w:rsid w:val="00D068A7"/>
    <w:rsid w:val="00D06D18"/>
    <w:rsid w:val="00D0798C"/>
    <w:rsid w:val="00D1080C"/>
    <w:rsid w:val="00D17476"/>
    <w:rsid w:val="00D17B0E"/>
    <w:rsid w:val="00D20D04"/>
    <w:rsid w:val="00D32086"/>
    <w:rsid w:val="00D342A2"/>
    <w:rsid w:val="00D36A59"/>
    <w:rsid w:val="00D37A3F"/>
    <w:rsid w:val="00D409EB"/>
    <w:rsid w:val="00D4431D"/>
    <w:rsid w:val="00D4551C"/>
    <w:rsid w:val="00D4667A"/>
    <w:rsid w:val="00D505E2"/>
    <w:rsid w:val="00D51974"/>
    <w:rsid w:val="00D63A1C"/>
    <w:rsid w:val="00D647C2"/>
    <w:rsid w:val="00D67073"/>
    <w:rsid w:val="00D67ADB"/>
    <w:rsid w:val="00D74730"/>
    <w:rsid w:val="00D7516F"/>
    <w:rsid w:val="00D905B5"/>
    <w:rsid w:val="00D91F89"/>
    <w:rsid w:val="00D94BA6"/>
    <w:rsid w:val="00D95F8E"/>
    <w:rsid w:val="00D95FA9"/>
    <w:rsid w:val="00DA0590"/>
    <w:rsid w:val="00DA0855"/>
    <w:rsid w:val="00DA661F"/>
    <w:rsid w:val="00DB6E3B"/>
    <w:rsid w:val="00DC0087"/>
    <w:rsid w:val="00DC15B8"/>
    <w:rsid w:val="00DC1739"/>
    <w:rsid w:val="00DC1788"/>
    <w:rsid w:val="00DC566C"/>
    <w:rsid w:val="00DC7601"/>
    <w:rsid w:val="00DD37DF"/>
    <w:rsid w:val="00DD436B"/>
    <w:rsid w:val="00DE319C"/>
    <w:rsid w:val="00DE3F0A"/>
    <w:rsid w:val="00DF0CA8"/>
    <w:rsid w:val="00DF2B48"/>
    <w:rsid w:val="00DF2C4D"/>
    <w:rsid w:val="00DF49A7"/>
    <w:rsid w:val="00DF7BE7"/>
    <w:rsid w:val="00E05B30"/>
    <w:rsid w:val="00E06181"/>
    <w:rsid w:val="00E07EE2"/>
    <w:rsid w:val="00E07FD1"/>
    <w:rsid w:val="00E154BB"/>
    <w:rsid w:val="00E1651A"/>
    <w:rsid w:val="00E16ACA"/>
    <w:rsid w:val="00E17CC1"/>
    <w:rsid w:val="00E209EA"/>
    <w:rsid w:val="00E22C64"/>
    <w:rsid w:val="00E24573"/>
    <w:rsid w:val="00E24EA7"/>
    <w:rsid w:val="00E255CA"/>
    <w:rsid w:val="00E25E1E"/>
    <w:rsid w:val="00E27EE7"/>
    <w:rsid w:val="00E35404"/>
    <w:rsid w:val="00E41696"/>
    <w:rsid w:val="00E434F0"/>
    <w:rsid w:val="00E45109"/>
    <w:rsid w:val="00E46FBA"/>
    <w:rsid w:val="00E47B69"/>
    <w:rsid w:val="00E47B7A"/>
    <w:rsid w:val="00E51CCA"/>
    <w:rsid w:val="00E535C7"/>
    <w:rsid w:val="00E56A44"/>
    <w:rsid w:val="00E60269"/>
    <w:rsid w:val="00E60BE5"/>
    <w:rsid w:val="00E620AA"/>
    <w:rsid w:val="00E6229D"/>
    <w:rsid w:val="00E6444F"/>
    <w:rsid w:val="00E67175"/>
    <w:rsid w:val="00E674FC"/>
    <w:rsid w:val="00E75123"/>
    <w:rsid w:val="00E823BE"/>
    <w:rsid w:val="00E843F5"/>
    <w:rsid w:val="00E879AE"/>
    <w:rsid w:val="00E9229F"/>
    <w:rsid w:val="00E92D56"/>
    <w:rsid w:val="00E97180"/>
    <w:rsid w:val="00E97830"/>
    <w:rsid w:val="00EC050E"/>
    <w:rsid w:val="00EC08BC"/>
    <w:rsid w:val="00EC2DBD"/>
    <w:rsid w:val="00EC2DC7"/>
    <w:rsid w:val="00ED03A5"/>
    <w:rsid w:val="00ED1014"/>
    <w:rsid w:val="00ED101B"/>
    <w:rsid w:val="00ED65C5"/>
    <w:rsid w:val="00EE0830"/>
    <w:rsid w:val="00EE3F3C"/>
    <w:rsid w:val="00EE6CB8"/>
    <w:rsid w:val="00EF0683"/>
    <w:rsid w:val="00EF6F7D"/>
    <w:rsid w:val="00F0070C"/>
    <w:rsid w:val="00F0081C"/>
    <w:rsid w:val="00F00C87"/>
    <w:rsid w:val="00F00EB7"/>
    <w:rsid w:val="00F01290"/>
    <w:rsid w:val="00F06271"/>
    <w:rsid w:val="00F06567"/>
    <w:rsid w:val="00F069F9"/>
    <w:rsid w:val="00F06CCA"/>
    <w:rsid w:val="00F07E04"/>
    <w:rsid w:val="00F15B3F"/>
    <w:rsid w:val="00F22873"/>
    <w:rsid w:val="00F30761"/>
    <w:rsid w:val="00F32786"/>
    <w:rsid w:val="00F361CF"/>
    <w:rsid w:val="00F3640D"/>
    <w:rsid w:val="00F36AB6"/>
    <w:rsid w:val="00F37A09"/>
    <w:rsid w:val="00F409CE"/>
    <w:rsid w:val="00F422D5"/>
    <w:rsid w:val="00F4379D"/>
    <w:rsid w:val="00F50D2D"/>
    <w:rsid w:val="00F53F67"/>
    <w:rsid w:val="00F56C8B"/>
    <w:rsid w:val="00F5733F"/>
    <w:rsid w:val="00F57CFA"/>
    <w:rsid w:val="00F62639"/>
    <w:rsid w:val="00F65655"/>
    <w:rsid w:val="00F65B18"/>
    <w:rsid w:val="00F66810"/>
    <w:rsid w:val="00F731C9"/>
    <w:rsid w:val="00F734B8"/>
    <w:rsid w:val="00F75574"/>
    <w:rsid w:val="00F77077"/>
    <w:rsid w:val="00F831BC"/>
    <w:rsid w:val="00F83F3E"/>
    <w:rsid w:val="00F84DF4"/>
    <w:rsid w:val="00F85C97"/>
    <w:rsid w:val="00F9096C"/>
    <w:rsid w:val="00F92012"/>
    <w:rsid w:val="00F92ACF"/>
    <w:rsid w:val="00F937B7"/>
    <w:rsid w:val="00FA1DD9"/>
    <w:rsid w:val="00FA30EB"/>
    <w:rsid w:val="00FA5F7D"/>
    <w:rsid w:val="00FB07DA"/>
    <w:rsid w:val="00FB37D2"/>
    <w:rsid w:val="00FC1753"/>
    <w:rsid w:val="00FC4EFB"/>
    <w:rsid w:val="00FD068D"/>
    <w:rsid w:val="00FD0962"/>
    <w:rsid w:val="00FD4F28"/>
    <w:rsid w:val="00FE4535"/>
    <w:rsid w:val="00FE5788"/>
    <w:rsid w:val="00FE6511"/>
    <w:rsid w:val="00FE6784"/>
    <w:rsid w:val="00FE7A8B"/>
    <w:rsid w:val="00FF0228"/>
    <w:rsid w:val="00FF066D"/>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E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11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F3116"/>
    <w:pPr>
      <w:keepNext/>
      <w:keepLines/>
      <w:spacing w:before="40"/>
      <w:outlineLvl w:val="3"/>
    </w:pPr>
    <w:rPr>
      <w:rFonts w:asciiTheme="majorHAnsi" w:eastAsiaTheme="majorEastAsia" w:hAnsiTheme="majorHAnsi" w:cstheme="majorBidi"/>
      <w:i/>
      <w:iCs/>
      <w:color w:val="365F91" w:themeColor="accent1" w:themeShade="BF"/>
      <w:szCs w:val="24"/>
    </w:rPr>
  </w:style>
  <w:style w:type="paragraph" w:styleId="Heading5">
    <w:name w:val="heading 5"/>
    <w:basedOn w:val="Normal"/>
    <w:next w:val="Normal"/>
    <w:link w:val="Heading5Char"/>
    <w:uiPriority w:val="9"/>
    <w:semiHidden/>
    <w:unhideWhenUsed/>
    <w:qFormat/>
    <w:rsid w:val="00CF311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F311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F311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F311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F311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3748D3"/>
  </w:style>
  <w:style w:type="paragraph" w:customStyle="1" w:styleId="sccnormaldoublespacing0">
    <w:name w:val="sccnormaldoublespacing"/>
    <w:basedOn w:val="Normal"/>
    <w:rsid w:val="0061412E"/>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411A51"/>
    <w:rPr>
      <w:color w:val="0000FF" w:themeColor="hyperlink"/>
      <w:u w:val="single"/>
    </w:rPr>
  </w:style>
  <w:style w:type="paragraph" w:customStyle="1" w:styleId="ParaNoNdepar-AltN">
    <w:name w:val="Para. No. / Nº de par. - Alt N"/>
    <w:link w:val="ParaNoNdepar-AltNChar"/>
    <w:qFormat/>
    <w:rsid w:val="00F731C9"/>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F731C9"/>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129"/>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12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22129"/>
    <w:pPr>
      <w:numPr>
        <w:ilvl w:val="2"/>
      </w:numPr>
      <w:outlineLvl w:val="2"/>
    </w:pPr>
  </w:style>
  <w:style w:type="paragraph" w:customStyle="1" w:styleId="Title4LevelTitre4Niveau">
    <w:name w:val="Title 4 Level / Titre 4 Niveau"/>
    <w:basedOn w:val="Title3LevelTitre3Niveau"/>
    <w:next w:val="ParaNoNdepar-AltN"/>
    <w:uiPriority w:val="4"/>
    <w:qFormat/>
    <w:rsid w:val="00C2212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22129"/>
    <w:pPr>
      <w:numPr>
        <w:ilvl w:val="4"/>
      </w:numPr>
      <w:tabs>
        <w:tab w:val="clear" w:pos="1728"/>
        <w:tab w:val="num" w:pos="1440"/>
      </w:tabs>
      <w:outlineLvl w:val="4"/>
    </w:pPr>
  </w:style>
  <w:style w:type="paragraph" w:customStyle="1" w:styleId="Title6LevelTitre6Niveau">
    <w:name w:val="Title 6 Level / Titre 6 Niveau"/>
    <w:basedOn w:val="Title5LevelTitre5Niveau"/>
    <w:next w:val="ParaNoNdepar-AltN"/>
    <w:uiPriority w:val="4"/>
    <w:qFormat/>
    <w:rsid w:val="00C22129"/>
    <w:pPr>
      <w:numPr>
        <w:ilvl w:val="5"/>
      </w:numPr>
      <w:jc w:val="both"/>
      <w:outlineLvl w:val="5"/>
    </w:pPr>
    <w:rPr>
      <w:i/>
      <w:u w:val="none"/>
    </w:rPr>
  </w:style>
  <w:style w:type="character" w:customStyle="1" w:styleId="Heading4Char">
    <w:name w:val="Heading 4 Char"/>
    <w:basedOn w:val="DefaultParagraphFont"/>
    <w:link w:val="Heading4"/>
    <w:uiPriority w:val="9"/>
    <w:semiHidden/>
    <w:rsid w:val="00CF3116"/>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CF3116"/>
    <w:pPr>
      <w:spacing w:after="480"/>
    </w:pPr>
    <w:rPr>
      <w:rFonts w:eastAsiaTheme="minorHAnsi" w:cstheme="minorBidi"/>
      <w:szCs w:val="22"/>
      <w:lang w:eastAsia="en-US"/>
    </w:rPr>
  </w:style>
  <w:style w:type="paragraph" w:customStyle="1" w:styleId="SCCCoram">
    <w:name w:val="SCC.Coram"/>
    <w:basedOn w:val="Normal"/>
    <w:next w:val="Normal"/>
    <w:link w:val="SCCCoramChar"/>
    <w:rsid w:val="00CF311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F311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F3116"/>
    <w:rPr>
      <w:rFonts w:eastAsiaTheme="minorHAnsi" w:cstheme="minorBidi"/>
      <w:sz w:val="24"/>
      <w:szCs w:val="22"/>
      <w:lang w:eastAsia="en-US"/>
    </w:rPr>
  </w:style>
  <w:style w:type="character" w:customStyle="1" w:styleId="SCCBanSummaryChar">
    <w:name w:val="SCC.BanSummary Char"/>
    <w:basedOn w:val="DefaultParagraphFont"/>
    <w:link w:val="SCCBanSummary"/>
    <w:rsid w:val="00CF3116"/>
    <w:rPr>
      <w:b/>
      <w:sz w:val="24"/>
    </w:rPr>
  </w:style>
  <w:style w:type="table" w:styleId="TableGrid">
    <w:name w:val="Table Grid"/>
    <w:basedOn w:val="TableNormal"/>
    <w:uiPriority w:val="59"/>
    <w:rsid w:val="00CF311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F311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F311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F3116"/>
    <w:pPr>
      <w:tabs>
        <w:tab w:val="left" w:pos="1166"/>
      </w:tabs>
      <w:spacing w:after="480" w:line="480" w:lineRule="auto"/>
    </w:pPr>
    <w:rPr>
      <w:smallCaps/>
      <w:sz w:val="24"/>
      <w:szCs w:val="24"/>
    </w:rPr>
  </w:style>
  <w:style w:type="paragraph" w:styleId="TOC1">
    <w:name w:val="toc 1"/>
    <w:basedOn w:val="Normal"/>
    <w:next w:val="Normal"/>
    <w:autoRedefine/>
    <w:uiPriority w:val="39"/>
    <w:unhideWhenUsed/>
    <w:rsid w:val="00CF311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F311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F311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F311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F311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F3116"/>
    <w:pPr>
      <w:tabs>
        <w:tab w:val="left" w:pos="2160"/>
        <w:tab w:val="right" w:leader="dot" w:pos="8270"/>
      </w:tabs>
      <w:spacing w:after="100"/>
      <w:ind w:left="1800"/>
    </w:pPr>
    <w:rPr>
      <w:noProof/>
    </w:rPr>
  </w:style>
  <w:style w:type="table" w:customStyle="1" w:styleId="TableGrid1">
    <w:name w:val="Table Grid1"/>
    <w:basedOn w:val="TableNormal"/>
    <w:uiPriority w:val="59"/>
    <w:rsid w:val="00CF311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F3116"/>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CF311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F3116"/>
  </w:style>
  <w:style w:type="character" w:styleId="FootnoteReference">
    <w:name w:val="footnote reference"/>
    <w:basedOn w:val="DefaultParagraphFont"/>
    <w:uiPriority w:val="99"/>
    <w:unhideWhenUsed/>
    <w:rsid w:val="00CF3116"/>
    <w:rPr>
      <w:vertAlign w:val="superscript"/>
    </w:rPr>
  </w:style>
  <w:style w:type="paragraph" w:customStyle="1" w:styleId="Bullets">
    <w:name w:val="Bullets"/>
    <w:basedOn w:val="ParaNoNdepar-AltN"/>
    <w:uiPriority w:val="5"/>
    <w:qFormat/>
    <w:rsid w:val="00CF3116"/>
    <w:pPr>
      <w:numPr>
        <w:numId w:val="10"/>
      </w:numPr>
      <w:tabs>
        <w:tab w:val="clear" w:pos="1152"/>
        <w:tab w:val="num" w:pos="360"/>
      </w:tabs>
      <w:spacing w:after="240" w:line="240" w:lineRule="auto"/>
      <w:ind w:left="1800" w:hanging="360"/>
    </w:pPr>
  </w:style>
  <w:style w:type="character" w:styleId="CommentReference">
    <w:name w:val="annotation reference"/>
    <w:basedOn w:val="DefaultParagraphFont"/>
    <w:uiPriority w:val="99"/>
    <w:semiHidden/>
    <w:unhideWhenUsed/>
    <w:rsid w:val="00CF3116"/>
    <w:rPr>
      <w:sz w:val="16"/>
      <w:szCs w:val="16"/>
    </w:rPr>
  </w:style>
  <w:style w:type="paragraph" w:styleId="CommentText">
    <w:name w:val="annotation text"/>
    <w:basedOn w:val="Normal"/>
    <w:link w:val="CommentTextChar"/>
    <w:uiPriority w:val="99"/>
    <w:unhideWhenUsed/>
    <w:rsid w:val="00CF3116"/>
    <w:rPr>
      <w:sz w:val="20"/>
    </w:rPr>
  </w:style>
  <w:style w:type="character" w:customStyle="1" w:styleId="CommentTextChar">
    <w:name w:val="Comment Text Char"/>
    <w:basedOn w:val="DefaultParagraphFont"/>
    <w:link w:val="CommentText"/>
    <w:uiPriority w:val="99"/>
    <w:rsid w:val="00CF3116"/>
  </w:style>
  <w:style w:type="paragraph" w:styleId="CommentSubject">
    <w:name w:val="annotation subject"/>
    <w:basedOn w:val="CommentText"/>
    <w:next w:val="CommentText"/>
    <w:link w:val="CommentSubjectChar"/>
    <w:uiPriority w:val="99"/>
    <w:semiHidden/>
    <w:unhideWhenUsed/>
    <w:rsid w:val="00CF3116"/>
    <w:rPr>
      <w:b/>
      <w:bCs/>
    </w:rPr>
  </w:style>
  <w:style w:type="character" w:customStyle="1" w:styleId="CommentSubjectChar">
    <w:name w:val="Comment Subject Char"/>
    <w:basedOn w:val="CommentTextChar"/>
    <w:link w:val="CommentSubject"/>
    <w:uiPriority w:val="99"/>
    <w:semiHidden/>
    <w:rsid w:val="00CF3116"/>
    <w:rPr>
      <w:b/>
      <w:bCs/>
    </w:rPr>
  </w:style>
  <w:style w:type="paragraph" w:customStyle="1" w:styleId="paragraphe">
    <w:name w:val="paragraphe"/>
    <w:basedOn w:val="Normal"/>
    <w:rsid w:val="00CF3116"/>
    <w:pPr>
      <w:spacing w:before="100" w:beforeAutospacing="1" w:after="100" w:afterAutospacing="1"/>
    </w:pPr>
    <w:rPr>
      <w:szCs w:val="24"/>
    </w:rPr>
  </w:style>
  <w:style w:type="paragraph" w:customStyle="1" w:styleId="citationenretrait">
    <w:name w:val="citationenretrait"/>
    <w:basedOn w:val="Normal"/>
    <w:rsid w:val="00CF3116"/>
    <w:pPr>
      <w:spacing w:before="100" w:beforeAutospacing="1" w:after="100" w:afterAutospacing="1"/>
    </w:pPr>
    <w:rPr>
      <w:szCs w:val="24"/>
    </w:rPr>
  </w:style>
  <w:style w:type="character" w:customStyle="1" w:styleId="reflex3-block">
    <w:name w:val="reflex3-block"/>
    <w:basedOn w:val="DefaultParagraphFont"/>
    <w:rsid w:val="00CF3116"/>
  </w:style>
  <w:style w:type="character" w:customStyle="1" w:styleId="reflex3-alt">
    <w:name w:val="reflex3-alt"/>
    <w:basedOn w:val="DefaultParagraphFont"/>
    <w:rsid w:val="00CF3116"/>
  </w:style>
  <w:style w:type="paragraph" w:styleId="ListParagraph">
    <w:name w:val="List Paragraph"/>
    <w:basedOn w:val="Normal"/>
    <w:uiPriority w:val="34"/>
    <w:qFormat/>
    <w:rsid w:val="00CF3116"/>
    <w:pPr>
      <w:numPr>
        <w:numId w:val="11"/>
      </w:numPr>
      <w:spacing w:before="60" w:after="120"/>
      <w:ind w:right="1440"/>
      <w:jc w:val="both"/>
    </w:pPr>
    <w:rPr>
      <w:szCs w:val="24"/>
    </w:rPr>
  </w:style>
  <w:style w:type="paragraph" w:styleId="NormalWeb">
    <w:name w:val="Normal (Web)"/>
    <w:basedOn w:val="Normal"/>
    <w:uiPriority w:val="99"/>
    <w:unhideWhenUsed/>
    <w:rsid w:val="00CF3116"/>
    <w:rPr>
      <w:szCs w:val="24"/>
    </w:rPr>
  </w:style>
  <w:style w:type="character" w:customStyle="1" w:styleId="searchterm1">
    <w:name w:val="searchterm1"/>
    <w:basedOn w:val="DefaultParagraphFont"/>
    <w:rsid w:val="00CF3116"/>
    <w:rPr>
      <w:b/>
      <w:bCs/>
      <w:shd w:val="clear" w:color="auto" w:fill="FFFF00"/>
    </w:rPr>
  </w:style>
  <w:style w:type="character" w:customStyle="1" w:styleId="p">
    <w:name w:val="p"/>
    <w:basedOn w:val="DefaultParagraphFont"/>
    <w:rsid w:val="00CF3116"/>
  </w:style>
  <w:style w:type="character" w:customStyle="1" w:styleId="dictreference">
    <w:name w:val="dict_reference"/>
    <w:basedOn w:val="DefaultParagraphFont"/>
    <w:rsid w:val="00CF3116"/>
  </w:style>
  <w:style w:type="character" w:customStyle="1" w:styleId="dictdefno">
    <w:name w:val="dict_def_no"/>
    <w:basedOn w:val="DefaultParagraphFont"/>
    <w:rsid w:val="00CF3116"/>
  </w:style>
  <w:style w:type="character" w:styleId="Emphasis">
    <w:name w:val="Emphasis"/>
    <w:basedOn w:val="DefaultParagraphFont"/>
    <w:uiPriority w:val="20"/>
    <w:qFormat/>
    <w:rsid w:val="00CF3116"/>
    <w:rPr>
      <w:i/>
      <w:iCs/>
    </w:rPr>
  </w:style>
  <w:style w:type="paragraph" w:styleId="PlainText">
    <w:name w:val="Plain Text"/>
    <w:basedOn w:val="Normal"/>
    <w:link w:val="PlainTextChar"/>
    <w:uiPriority w:val="99"/>
    <w:semiHidden/>
    <w:unhideWhenUsed/>
    <w:rsid w:val="00CF3116"/>
    <w:pPr>
      <w:spacing w:before="100" w:beforeAutospacing="1" w:after="100" w:afterAutospacing="1"/>
    </w:pPr>
    <w:rPr>
      <w:szCs w:val="24"/>
    </w:rPr>
  </w:style>
  <w:style w:type="character" w:customStyle="1" w:styleId="PlainTextChar">
    <w:name w:val="Plain Text Char"/>
    <w:basedOn w:val="DefaultParagraphFont"/>
    <w:link w:val="PlainText"/>
    <w:uiPriority w:val="99"/>
    <w:semiHidden/>
    <w:rsid w:val="00CF3116"/>
    <w:rPr>
      <w:sz w:val="24"/>
      <w:szCs w:val="24"/>
    </w:rPr>
  </w:style>
  <w:style w:type="character" w:customStyle="1" w:styleId="reflex">
    <w:name w:val="reflex"/>
    <w:basedOn w:val="DefaultParagraphFont"/>
    <w:rsid w:val="00CF3116"/>
  </w:style>
  <w:style w:type="paragraph" w:customStyle="1" w:styleId="Citation1">
    <w:name w:val="Citation1"/>
    <w:basedOn w:val="Normal"/>
    <w:next w:val="Normal"/>
    <w:uiPriority w:val="2"/>
    <w:rsid w:val="00CF3116"/>
    <w:pPr>
      <w:ind w:left="1080" w:right="1080"/>
      <w:jc w:val="both"/>
    </w:pPr>
    <w:rPr>
      <w:sz w:val="22"/>
      <w:szCs w:val="22"/>
      <w:lang w:val="en-GB"/>
    </w:rPr>
  </w:style>
  <w:style w:type="paragraph" w:customStyle="1" w:styleId="citation-altc0">
    <w:name w:val="citation-altc"/>
    <w:basedOn w:val="Normal"/>
    <w:rsid w:val="00CF3116"/>
    <w:pPr>
      <w:spacing w:before="100" w:beforeAutospacing="1" w:after="100" w:afterAutospacing="1"/>
    </w:pPr>
    <w:rPr>
      <w:szCs w:val="24"/>
      <w:lang w:val="en-US" w:eastAsia="en-US"/>
    </w:rPr>
  </w:style>
  <w:style w:type="paragraph" w:customStyle="1" w:styleId="BlockQuote">
    <w:name w:val="Block Quote"/>
    <w:next w:val="Normal"/>
    <w:qFormat/>
    <w:rsid w:val="00CF3116"/>
    <w:pPr>
      <w:spacing w:after="200" w:line="276" w:lineRule="auto"/>
      <w:ind w:left="720" w:right="720"/>
    </w:pPr>
    <w:rPr>
      <w:rFonts w:eastAsiaTheme="minorHAnsi" w:cstheme="minorBidi"/>
      <w:sz w:val="24"/>
      <w:szCs w:val="22"/>
      <w:lang w:eastAsia="en-US"/>
    </w:rPr>
  </w:style>
  <w:style w:type="paragraph" w:styleId="ListBullet">
    <w:name w:val="List Bullet"/>
    <w:basedOn w:val="Normal"/>
    <w:uiPriority w:val="99"/>
    <w:unhideWhenUsed/>
    <w:rsid w:val="00CF3116"/>
    <w:pPr>
      <w:numPr>
        <w:numId w:val="17"/>
      </w:numPr>
      <w:contextualSpacing/>
    </w:pPr>
    <w:rPr>
      <w:szCs w:val="24"/>
    </w:rPr>
  </w:style>
  <w:style w:type="character" w:customStyle="1" w:styleId="decisia-reflex2-icon">
    <w:name w:val="decisia-reflex2-icon"/>
    <w:basedOn w:val="DefaultParagraphFont"/>
    <w:rsid w:val="00CF3116"/>
    <w:rPr>
      <w:sz w:val="19"/>
      <w:szCs w:val="19"/>
    </w:rPr>
  </w:style>
  <w:style w:type="character" w:styleId="FollowedHyperlink">
    <w:name w:val="FollowedHyperlink"/>
    <w:basedOn w:val="DefaultParagraphFont"/>
    <w:uiPriority w:val="99"/>
    <w:semiHidden/>
    <w:unhideWhenUsed/>
    <w:rsid w:val="00CF3116"/>
    <w:rPr>
      <w:color w:val="800080" w:themeColor="followedHyperlink"/>
      <w:u w:val="single"/>
    </w:rPr>
  </w:style>
  <w:style w:type="paragraph" w:styleId="BodyText">
    <w:name w:val="Body Text"/>
    <w:basedOn w:val="Normal"/>
    <w:link w:val="BodyTextChar"/>
    <w:uiPriority w:val="99"/>
    <w:unhideWhenUsed/>
    <w:rsid w:val="00CF3116"/>
    <w:pPr>
      <w:spacing w:after="120"/>
    </w:pPr>
    <w:rPr>
      <w:szCs w:val="24"/>
    </w:rPr>
  </w:style>
  <w:style w:type="character" w:customStyle="1" w:styleId="BodyTextChar">
    <w:name w:val="Body Text Char"/>
    <w:basedOn w:val="DefaultParagraphFont"/>
    <w:link w:val="BodyText"/>
    <w:uiPriority w:val="99"/>
    <w:rsid w:val="00CF3116"/>
    <w:rPr>
      <w:sz w:val="24"/>
      <w:szCs w:val="24"/>
    </w:rPr>
  </w:style>
  <w:style w:type="character" w:customStyle="1" w:styleId="Heading3Char">
    <w:name w:val="Heading 3 Char"/>
    <w:basedOn w:val="DefaultParagraphFont"/>
    <w:link w:val="Heading3"/>
    <w:uiPriority w:val="9"/>
    <w:semiHidden/>
    <w:rsid w:val="00CF3116"/>
    <w:rPr>
      <w:rFonts w:asciiTheme="majorHAnsi" w:eastAsiaTheme="majorEastAsia" w:hAnsiTheme="majorHAnsi" w:cstheme="majorBidi"/>
      <w:b/>
      <w:b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F311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F311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F311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F311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F3116"/>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CF3116"/>
    <w:rPr>
      <w:rFonts w:eastAsiaTheme="minorHAnsi" w:cstheme="minorBidi"/>
      <w:sz w:val="24"/>
      <w:szCs w:val="22"/>
      <w:lang w:val="en-US" w:eastAsia="en-US" w:bidi="en-US"/>
    </w:rPr>
  </w:style>
  <w:style w:type="character" w:customStyle="1" w:styleId="texte-courant1">
    <w:name w:val="texte-courant1"/>
    <w:basedOn w:val="DefaultParagraphFont"/>
    <w:rsid w:val="00CF3116"/>
  </w:style>
  <w:style w:type="paragraph" w:styleId="IntenseQuote">
    <w:name w:val="Intense Quote"/>
    <w:basedOn w:val="Normal"/>
    <w:next w:val="Normal"/>
    <w:link w:val="IntenseQuoteChar"/>
    <w:uiPriority w:val="30"/>
    <w:rsid w:val="00CF311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F3116"/>
    <w:rPr>
      <w:rFonts w:eastAsiaTheme="minorHAnsi" w:cstheme="minorBidi"/>
      <w:b/>
      <w:bCs/>
      <w:i/>
      <w:iCs/>
      <w:color w:val="4F81BD" w:themeColor="accent1"/>
      <w:sz w:val="24"/>
      <w:szCs w:val="22"/>
      <w:lang w:val="en-US" w:eastAsia="en-US" w:bidi="en-US"/>
    </w:rPr>
  </w:style>
  <w:style w:type="character" w:customStyle="1" w:styleId="label-z">
    <w:name w:val="label-z"/>
    <w:basedOn w:val="DefaultParagraphFont"/>
    <w:rsid w:val="00CF3116"/>
  </w:style>
  <w:style w:type="character" w:customStyle="1" w:styleId="normal1">
    <w:name w:val="normal1"/>
    <w:basedOn w:val="DefaultParagraphFont"/>
    <w:rsid w:val="00CF3116"/>
    <w:rPr>
      <w:b w:val="0"/>
      <w:bCs w:val="0"/>
      <w:i w:val="0"/>
      <w:iCs w:val="0"/>
      <w:caps w:val="0"/>
      <w:smallCaps w:val="0"/>
      <w:strike w:val="0"/>
      <w:dstrike w:val="0"/>
      <w:u w:val="none"/>
      <w:effect w:val="none"/>
    </w:rPr>
  </w:style>
  <w:style w:type="character" w:customStyle="1" w:styleId="widthfixforlabel1">
    <w:name w:val="widthfixforlabel1"/>
    <w:basedOn w:val="DefaultParagraphFont"/>
    <w:rsid w:val="00CF3116"/>
  </w:style>
  <w:style w:type="character" w:customStyle="1" w:styleId="legds2">
    <w:name w:val="legds2"/>
    <w:basedOn w:val="DefaultParagraphFont"/>
    <w:rsid w:val="00CF3116"/>
    <w:rPr>
      <w:vanish w:val="0"/>
      <w:webHidden w:val="0"/>
      <w:specVanish w:val="0"/>
    </w:rPr>
  </w:style>
  <w:style w:type="paragraph" w:styleId="TOCHeading">
    <w:name w:val="TOC Heading"/>
    <w:basedOn w:val="Heading1"/>
    <w:next w:val="Normal"/>
    <w:uiPriority w:val="39"/>
    <w:unhideWhenUsed/>
    <w:qFormat/>
    <w:rsid w:val="00CF3116"/>
    <w:pPr>
      <w:spacing w:before="480" w:after="0"/>
      <w:ind w:left="0" w:firstLine="0"/>
      <w:outlineLvl w:val="9"/>
    </w:pPr>
    <w:rPr>
      <w:lang w:val="en-US" w:eastAsia="en-US" w:bidi="en-US"/>
    </w:rPr>
  </w:style>
  <w:style w:type="character" w:styleId="IntenseEmphasis">
    <w:name w:val="Intense Emphasis"/>
    <w:basedOn w:val="DefaultParagraphFont"/>
    <w:uiPriority w:val="21"/>
    <w:rsid w:val="00CF3116"/>
    <w:rPr>
      <w:b/>
      <w:bCs/>
      <w:i/>
      <w:iCs/>
      <w:color w:val="4F81BD" w:themeColor="accent1"/>
    </w:rPr>
  </w:style>
  <w:style w:type="character" w:styleId="SubtleReference">
    <w:name w:val="Subtle Reference"/>
    <w:basedOn w:val="DefaultParagraphFont"/>
    <w:uiPriority w:val="31"/>
    <w:rsid w:val="00CF3116"/>
    <w:rPr>
      <w:smallCaps/>
      <w:color w:val="C0504D" w:themeColor="accent2"/>
      <w:u w:val="single"/>
    </w:rPr>
  </w:style>
  <w:style w:type="character" w:customStyle="1" w:styleId="JudgeJugeChar">
    <w:name w:val="Judge / Juge Char"/>
    <w:basedOn w:val="DefaultParagraphFont"/>
    <w:link w:val="JudgeJuge"/>
    <w:uiPriority w:val="3"/>
    <w:rsid w:val="00CF3116"/>
    <w:rPr>
      <w:smallCaps/>
      <w:sz w:val="24"/>
      <w:szCs w:val="24"/>
    </w:rPr>
  </w:style>
  <w:style w:type="paragraph" w:styleId="Caption">
    <w:name w:val="caption"/>
    <w:basedOn w:val="Normal"/>
    <w:next w:val="Normal"/>
    <w:uiPriority w:val="35"/>
    <w:semiHidden/>
    <w:unhideWhenUsed/>
    <w:qFormat/>
    <w:rsid w:val="00CF311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F31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F311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F311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F3116"/>
    <w:rPr>
      <w:rFonts w:asciiTheme="majorHAnsi" w:eastAsiaTheme="majorEastAsia" w:hAnsiTheme="majorHAnsi" w:cstheme="majorBidi"/>
      <w:i/>
      <w:iCs/>
      <w:color w:val="4F81BD" w:themeColor="accent1"/>
      <w:spacing w:val="15"/>
      <w:sz w:val="24"/>
      <w:szCs w:val="24"/>
      <w:lang w:val="en-US" w:eastAsia="en-US" w:bidi="en-US"/>
    </w:rPr>
  </w:style>
  <w:style w:type="character" w:styleId="SubtleEmphasis">
    <w:name w:val="Subtle Emphasis"/>
    <w:basedOn w:val="DefaultParagraphFont"/>
    <w:uiPriority w:val="19"/>
    <w:rsid w:val="00CF3116"/>
    <w:rPr>
      <w:i/>
      <w:iCs/>
      <w:color w:val="808080" w:themeColor="text1" w:themeTint="7F"/>
    </w:rPr>
  </w:style>
  <w:style w:type="character" w:styleId="IntenseReference">
    <w:name w:val="Intense Reference"/>
    <w:basedOn w:val="DefaultParagraphFont"/>
    <w:uiPriority w:val="32"/>
    <w:rsid w:val="00CF3116"/>
    <w:rPr>
      <w:b/>
      <w:bCs/>
      <w:smallCaps/>
      <w:color w:val="C0504D" w:themeColor="accent2"/>
      <w:spacing w:val="5"/>
      <w:u w:val="single"/>
    </w:rPr>
  </w:style>
  <w:style w:type="character" w:styleId="BookTitle">
    <w:name w:val="Book Title"/>
    <w:basedOn w:val="DefaultParagraphFont"/>
    <w:uiPriority w:val="33"/>
    <w:rsid w:val="00CF3116"/>
    <w:rPr>
      <w:b/>
      <w:bCs/>
      <w:smallCaps/>
      <w:spacing w:val="5"/>
    </w:rPr>
  </w:style>
  <w:style w:type="paragraph" w:styleId="Revision">
    <w:name w:val="Revision"/>
    <w:hidden/>
    <w:uiPriority w:val="99"/>
    <w:semiHidden/>
    <w:rsid w:val="00CF3116"/>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CF311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F54F7"/>
    <w:rPr>
      <w:lang w:val="fr-CA"/>
    </w:rPr>
  </w:style>
  <w:style w:type="paragraph" w:customStyle="1" w:styleId="SCCLsocPrefix">
    <w:name w:val="SCC.Lsoc.Prefix"/>
    <w:basedOn w:val="Normal"/>
    <w:next w:val="Normal"/>
    <w:link w:val="SCCLsocPrefixChar"/>
    <w:rsid w:val="009F54F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F54F7"/>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4957">
      <w:bodyDiv w:val="1"/>
      <w:marLeft w:val="0"/>
      <w:marRight w:val="0"/>
      <w:marTop w:val="0"/>
      <w:marBottom w:val="0"/>
      <w:divBdr>
        <w:top w:val="none" w:sz="0" w:space="0" w:color="auto"/>
        <w:left w:val="none" w:sz="0" w:space="0" w:color="auto"/>
        <w:bottom w:val="none" w:sz="0" w:space="0" w:color="auto"/>
        <w:right w:val="none" w:sz="0" w:space="0" w:color="auto"/>
      </w:divBdr>
    </w:div>
    <w:div w:id="396705792">
      <w:bodyDiv w:val="1"/>
      <w:marLeft w:val="0"/>
      <w:marRight w:val="0"/>
      <w:marTop w:val="0"/>
      <w:marBottom w:val="0"/>
      <w:divBdr>
        <w:top w:val="none" w:sz="0" w:space="0" w:color="auto"/>
        <w:left w:val="none" w:sz="0" w:space="0" w:color="auto"/>
        <w:bottom w:val="none" w:sz="0" w:space="0" w:color="auto"/>
        <w:right w:val="none" w:sz="0" w:space="0" w:color="auto"/>
      </w:divBdr>
    </w:div>
    <w:div w:id="494104868">
      <w:bodyDiv w:val="1"/>
      <w:marLeft w:val="0"/>
      <w:marRight w:val="0"/>
      <w:marTop w:val="0"/>
      <w:marBottom w:val="0"/>
      <w:divBdr>
        <w:top w:val="none" w:sz="0" w:space="0" w:color="auto"/>
        <w:left w:val="none" w:sz="0" w:space="0" w:color="auto"/>
        <w:bottom w:val="none" w:sz="0" w:space="0" w:color="auto"/>
        <w:right w:val="none" w:sz="0" w:space="0" w:color="auto"/>
      </w:divBdr>
    </w:div>
    <w:div w:id="586426890">
      <w:bodyDiv w:val="1"/>
      <w:marLeft w:val="0"/>
      <w:marRight w:val="0"/>
      <w:marTop w:val="0"/>
      <w:marBottom w:val="0"/>
      <w:divBdr>
        <w:top w:val="none" w:sz="0" w:space="0" w:color="auto"/>
        <w:left w:val="none" w:sz="0" w:space="0" w:color="auto"/>
        <w:bottom w:val="none" w:sz="0" w:space="0" w:color="auto"/>
        <w:right w:val="none" w:sz="0" w:space="0" w:color="auto"/>
      </w:divBdr>
    </w:div>
    <w:div w:id="906498259">
      <w:bodyDiv w:val="1"/>
      <w:marLeft w:val="0"/>
      <w:marRight w:val="0"/>
      <w:marTop w:val="0"/>
      <w:marBottom w:val="0"/>
      <w:divBdr>
        <w:top w:val="none" w:sz="0" w:space="0" w:color="auto"/>
        <w:left w:val="none" w:sz="0" w:space="0" w:color="auto"/>
        <w:bottom w:val="none" w:sz="0" w:space="0" w:color="auto"/>
        <w:right w:val="none" w:sz="0" w:space="0" w:color="auto"/>
      </w:divBdr>
    </w:div>
    <w:div w:id="1297447862">
      <w:bodyDiv w:val="1"/>
      <w:marLeft w:val="0"/>
      <w:marRight w:val="0"/>
      <w:marTop w:val="0"/>
      <w:marBottom w:val="0"/>
      <w:divBdr>
        <w:top w:val="none" w:sz="0" w:space="0" w:color="auto"/>
        <w:left w:val="none" w:sz="0" w:space="0" w:color="auto"/>
        <w:bottom w:val="none" w:sz="0" w:space="0" w:color="auto"/>
        <w:right w:val="none" w:sz="0" w:space="0" w:color="auto"/>
      </w:divBdr>
    </w:div>
    <w:div w:id="1515072460">
      <w:bodyDiv w:val="1"/>
      <w:marLeft w:val="0"/>
      <w:marRight w:val="0"/>
      <w:marTop w:val="0"/>
      <w:marBottom w:val="0"/>
      <w:divBdr>
        <w:top w:val="none" w:sz="0" w:space="0" w:color="auto"/>
        <w:left w:val="none" w:sz="0" w:space="0" w:color="auto"/>
        <w:bottom w:val="none" w:sz="0" w:space="0" w:color="auto"/>
        <w:right w:val="none" w:sz="0" w:space="0" w:color="auto"/>
      </w:divBdr>
    </w:div>
    <w:div w:id="1538471532">
      <w:bodyDiv w:val="1"/>
      <w:marLeft w:val="0"/>
      <w:marRight w:val="0"/>
      <w:marTop w:val="0"/>
      <w:marBottom w:val="0"/>
      <w:divBdr>
        <w:top w:val="none" w:sz="0" w:space="0" w:color="auto"/>
        <w:left w:val="none" w:sz="0" w:space="0" w:color="auto"/>
        <w:bottom w:val="none" w:sz="0" w:space="0" w:color="auto"/>
        <w:right w:val="none" w:sz="0" w:space="0" w:color="auto"/>
      </w:divBdr>
    </w:div>
    <w:div w:id="18647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5AAF-5FEB-4966-BFE6-8DF076B9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53002</Words>
  <Characters>281044</Characters>
  <Application>Microsoft Office Word</Application>
  <DocSecurity>0</DocSecurity>
  <Lines>2342</Lines>
  <Paragraphs>666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2021-11-05T18:49:00Z</dcterms:created>
  <dcterms:modified xsi:type="dcterms:W3CDTF">2023-01-25T02:01:00Z</dcterms:modified>
</cp:coreProperties>
</file>